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1C0" w:rsidRDefault="00A021C0" w:rsidP="00A021C0">
      <w:pPr>
        <w:pStyle w:val="a3"/>
        <w:shd w:val="clear" w:color="auto" w:fill="FFFFFF"/>
        <w:spacing w:before="0" w:beforeAutospacing="0" w:after="0" w:afterAutospacing="0"/>
        <w:ind w:firstLine="480"/>
        <w:jc w:val="center"/>
        <w:rPr>
          <w:rFonts w:ascii="微软雅黑" w:eastAsia="微软雅黑" w:hAnsi="微软雅黑"/>
          <w:color w:val="333333"/>
        </w:rPr>
      </w:pPr>
      <w:r>
        <w:rPr>
          <w:rStyle w:val="a4"/>
          <w:rFonts w:ascii="微软雅黑" w:eastAsia="微软雅黑" w:hAnsi="微软雅黑" w:hint="eastAsia"/>
          <w:color w:val="333333"/>
        </w:rPr>
        <w:t>国务院关于进一步规范和监督罚款设定与实施的指导意见</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国发〔2024〕5号</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各省、自治区、直辖市人民政府，国务院各部委、各直属机构：</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行政执法是行政机关履行政府职能、管理经济社会事务的重要方式。行政执法工作面广量大，一头连着政府，一头连着群众，直接关系群众对党和政府的信任、对法治的信心。罚款是较为常见的行政执法行为。为进一步提高罚款规定的立法、执法质量，规范和监督罚款设定与实施，现就行政法规、规章</w:t>
      </w:r>
      <w:proofErr w:type="gramStart"/>
      <w:r>
        <w:rPr>
          <w:rFonts w:ascii="微软雅黑" w:eastAsia="微软雅黑" w:hAnsi="微软雅黑" w:hint="eastAsia"/>
          <w:color w:val="333333"/>
        </w:rPr>
        <w:t>中罚款</w:t>
      </w:r>
      <w:proofErr w:type="gramEnd"/>
      <w:r>
        <w:rPr>
          <w:rFonts w:ascii="微软雅黑" w:eastAsia="微软雅黑" w:hAnsi="微软雅黑" w:hint="eastAsia"/>
          <w:color w:val="333333"/>
        </w:rPr>
        <w:t>设定与实施提出以下意见。</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一、总体要求</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一）指导思想。以习近平新时代中国特色社会主义思想为指导，深入学习贯彻习近平法治思想，全面贯彻落实党的二十大精神，立足新发展阶段，完整、准确、全面贯彻新发展理念，加快构建新发展格局，严格规范和有力监督罚款设定与实施，强化对违法行为的预防和惩戒作用，提升政府治理能力，维护经济社会秩序，切实保护企业和群众合法权益，优化法治化营商环境，推进国家治理体系和治理能力现代化。</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二）基本原则。坚持党的领导，把坚持和加强党的领导贯穿于规范和监督罚款设定与实施工作的全过程和各方面。坚持以人民为中心，努力让企业和群众在每一个执法行为中都能看到风清气正、从每一项执法决定中都能感受到公平正义。坚持依法行政，按照处罚法定、公正公开、过罚相当、处罚与教育相结合的要求，依法行使权力、履行职责、承担责任。坚持问题导向，着力破解企业和群众反映强烈的乱罚款等突出问题。</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（三）主要目标。罚款设定更加科学，罚款实施更加规范，罚款监督更加有力，全面推进严格规范公正文明执法，企业和群众的满意</w:t>
      </w:r>
      <w:proofErr w:type="gramStart"/>
      <w:r>
        <w:rPr>
          <w:rFonts w:ascii="微软雅黑" w:eastAsia="微软雅黑" w:hAnsi="微软雅黑" w:hint="eastAsia"/>
          <w:color w:val="333333"/>
        </w:rPr>
        <w:t>度显著</w:t>
      </w:r>
      <w:proofErr w:type="gramEnd"/>
      <w:r>
        <w:rPr>
          <w:rFonts w:ascii="微软雅黑" w:eastAsia="微软雅黑" w:hAnsi="微软雅黑" w:hint="eastAsia"/>
          <w:color w:val="333333"/>
        </w:rPr>
        <w:t>提升。</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二、依法科学设定罚款</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（四）严守罚款设定权限。法律、法规对违法行为已经</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行政处罚规定但未设定罚款的，规章不得增设罚款。法律、法规已经设定罚款但未规定罚款数额的，或者尚未制定法律、法规，因行政管理迫切需要</w:t>
      </w:r>
      <w:proofErr w:type="gramStart"/>
      <w:r>
        <w:rPr>
          <w:rFonts w:ascii="微软雅黑" w:eastAsia="微软雅黑" w:hAnsi="微软雅黑" w:hint="eastAsia"/>
          <w:color w:val="333333"/>
        </w:rPr>
        <w:t>依法先</w:t>
      </w:r>
      <w:proofErr w:type="gramEnd"/>
      <w:r>
        <w:rPr>
          <w:rFonts w:ascii="微软雅黑" w:eastAsia="微软雅黑" w:hAnsi="微软雅黑" w:hint="eastAsia"/>
          <w:color w:val="333333"/>
        </w:rPr>
        <w:t>以规章设定罚款的，规章要在规定的罚款限额内</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具体规定。规章设定的罚款数额不得超过法律、法规对相似违法行为规定的罚款数额，并要根据经济社会发展情况适时调整。鼓励跨行政区域按规定联合制定统一监管制度及标准规范，协同推动罚款数额、裁量基准等相对统一。</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（五）科学</w:t>
      </w:r>
      <w:proofErr w:type="gramStart"/>
      <w:r>
        <w:rPr>
          <w:rFonts w:ascii="微软雅黑" w:eastAsia="微软雅黑" w:hAnsi="微软雅黑" w:hint="eastAsia"/>
          <w:color w:val="333333"/>
        </w:rPr>
        <w:t>适用过罚相当</w:t>
      </w:r>
      <w:proofErr w:type="gramEnd"/>
      <w:r>
        <w:rPr>
          <w:rFonts w:ascii="微软雅黑" w:eastAsia="微软雅黑" w:hAnsi="微软雅黑" w:hint="eastAsia"/>
          <w:color w:val="333333"/>
        </w:rPr>
        <w:t>原则。行政法规、规章新设罚款和确定罚款数额时，要坚持过罚相当，做到该宽则宽、当</w:t>
      </w:r>
      <w:proofErr w:type="gramStart"/>
      <w:r>
        <w:rPr>
          <w:rFonts w:ascii="微软雅黑" w:eastAsia="微软雅黑" w:hAnsi="微软雅黑" w:hint="eastAsia"/>
          <w:color w:val="333333"/>
        </w:rPr>
        <w:t>严则严</w:t>
      </w:r>
      <w:proofErr w:type="gramEnd"/>
      <w:r>
        <w:rPr>
          <w:rFonts w:ascii="微软雅黑" w:eastAsia="微软雅黑" w:hAnsi="微软雅黑" w:hint="eastAsia"/>
          <w:color w:val="333333"/>
        </w:rPr>
        <w:t>，避免失衡。要综合运用各种管理手段，能够通过教育劝导、责令改正、信息披露等方式管理的，一般</w:t>
      </w:r>
      <w:proofErr w:type="gramStart"/>
      <w:r>
        <w:rPr>
          <w:rFonts w:ascii="微软雅黑" w:eastAsia="微软雅黑" w:hAnsi="微软雅黑" w:hint="eastAsia"/>
          <w:color w:val="333333"/>
        </w:rPr>
        <w:t>不</w:t>
      </w:r>
      <w:proofErr w:type="gramEnd"/>
      <w:r>
        <w:rPr>
          <w:rFonts w:ascii="微软雅黑" w:eastAsia="微软雅黑" w:hAnsi="微软雅黑" w:hint="eastAsia"/>
          <w:color w:val="333333"/>
        </w:rPr>
        <w:t>设定罚款。实施罚款处罚无法有效进行行政管理时，要依法确定更加适当的处罚种类。设定罚款要结合违法行为的事实、性质、情节以及社会危害程度，统筹考虑经济社会发展水平、行业特点、地方实际、主观过错、获利情况、相似违法行为罚款规定等因素，区分情况、分类处理，确保有效遏制违法、激励守法。制定行政法规、规章时，可以根据行政处罚法第三十二条等规定，对当事人为盲人、又聋又哑的人或者已满75周岁的人等，结合具体情况明确罚款的从轻、减轻情形；根据行政处罚法第三十三条等规定，细化不予、可以不予罚款情形；参考相关法律规范对教唆未成年人等的从重处罚规定，明确罚款的从重情形。</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六）合理确定罚款数额。设定罚款要符合行政处罚法和相关法律规范的立法目的，一般要明确罚款数额，科学采用数额罚、倍数（比例）罚等方法。规定处以一定幅度的罚款时，除涉及公民生命健康安全、金融安全等情形外，罚款的最低数额与最高数额之间一般不超过10倍。各地区、各部门要根据地域、领域等因素，适时调整本地区、本部门规定的适用听证程序的“较大数额罚款”标准。同一行政法规、规章对不同违法行为设定罚款的要相互协调，不同行政法规、规章对同一个违法行为设定罚款的要相互衔接，避免畸高</w:t>
      </w:r>
      <w:proofErr w:type="gramStart"/>
      <w:r>
        <w:rPr>
          <w:rFonts w:ascii="微软雅黑" w:eastAsia="微软雅黑" w:hAnsi="微软雅黑" w:hint="eastAsia"/>
          <w:color w:val="333333"/>
        </w:rPr>
        <w:t>畸</w:t>
      </w:r>
      <w:proofErr w:type="gramEnd"/>
      <w:r>
        <w:rPr>
          <w:rFonts w:ascii="微软雅黑" w:eastAsia="微软雅黑" w:hAnsi="微软雅黑" w:hint="eastAsia"/>
          <w:color w:val="333333"/>
        </w:rPr>
        <w:t>低。</w:t>
      </w:r>
      <w:proofErr w:type="gramStart"/>
      <w:r>
        <w:rPr>
          <w:rFonts w:ascii="微软雅黑" w:eastAsia="微软雅黑" w:hAnsi="微软雅黑" w:hint="eastAsia"/>
          <w:color w:val="333333"/>
        </w:rPr>
        <w:t>拟规定较高起罚</w:t>
      </w:r>
      <w:proofErr w:type="gramEnd"/>
      <w:r>
        <w:rPr>
          <w:rFonts w:ascii="微软雅黑" w:eastAsia="微软雅黑" w:hAnsi="微软雅黑" w:hint="eastAsia"/>
          <w:color w:val="333333"/>
        </w:rPr>
        <w:t>数额的，要充分听取专家学者等各方面意见，参考不同领域的相似违法行为或者同一领域的不同违法行为的罚款数额。起草法律、行政法规、地方性法规时，需要制定涉及罚款的配套规定的，有关部门要统筹考虑、同步研究。</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七）定期评估清理罚款规定。国务院部门和省、自治区、直辖市人民政府及其有关部门在落实行政处罚定期评估制度、每5年分类分批组织行政处罚评估时，要重点评估设定时间较早、罚款数额较大、社会关注度较高、与企业和群众关系密切的罚款规定。对评估发现有不符合上位法规定、不适应经济社会发展需要、</w:t>
      </w:r>
      <w:proofErr w:type="gramStart"/>
      <w:r>
        <w:rPr>
          <w:rFonts w:ascii="微软雅黑" w:eastAsia="微软雅黑" w:hAnsi="微软雅黑" w:hint="eastAsia"/>
          <w:color w:val="333333"/>
        </w:rPr>
        <w:t>明显过</w:t>
      </w:r>
      <w:proofErr w:type="gramEnd"/>
      <w:r>
        <w:rPr>
          <w:rFonts w:ascii="微软雅黑" w:eastAsia="微软雅黑" w:hAnsi="微软雅黑" w:hint="eastAsia"/>
          <w:color w:val="333333"/>
        </w:rPr>
        <w:t>罚不当、缺乏针对性和实用性等情形的罚款规定，要及时按照立法权限和程序自行或者建议有权机关予以修改或者废止。各地区、各部门以行政规范性文件形式对违法所得计算方式</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例外规定的，要及时清理；确有必要保留的，要依法及时通过法律、行政法规、部门规章予以明确。</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八）及时修改废止罚款规定。国务院决定取消行政法规、部门规章中设定的罚款事项的，自决定印发之日起暂时停止适用相关行政法规、部门规章中的有关罚款规定。国务院决定调整行政法规、部门规章中设定的罚款事项的，按照修改后的相关行政法规、部门规章中的有关罚款规定执行。国务院有关部门要自决</w:t>
      </w:r>
      <w:r>
        <w:rPr>
          <w:rFonts w:ascii="微软雅黑" w:eastAsia="微软雅黑" w:hAnsi="微软雅黑" w:hint="eastAsia"/>
          <w:color w:val="333333"/>
        </w:rPr>
        <w:lastRenderedPageBreak/>
        <w:t>定印发之日起60日内向国务院报送相关行政法规修改方案，并完成相关部门规章修改或者废止工作，部门规章需要根据修改后的行政法规调整的，要自相关行政法规公布之日起60日内完成修改或者废止工作。因特殊原因无法在上述期限内完成部门规章修改或者废止工作的，可以适当延长，但延长期限最多不得超过30日。罚款事项取消后，有关部门要依法认真研究，严格落实监管责任，着力加强事中事后监管，完善监管方法，规范监管程序，提高监管的科学性、简约性和精准性，进一步提升监管效能。</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三、严格规范罚款实施</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九）坚持严格规范执法。要严格按照法律规定和违法事实实施罚款，不得随意给予顶格罚款或者高额罚款，不得随意降低对违法行为的认定门槛，不得随意扩大违法行为的范围。对违法行为的事实、性质、情节以及社会危害程度基本相似的案件，要确保罚款裁量尺度符合法定要求，</w:t>
      </w:r>
      <w:proofErr w:type="gramStart"/>
      <w:r>
        <w:rPr>
          <w:rFonts w:ascii="微软雅黑" w:eastAsia="微软雅黑" w:hAnsi="微软雅黑" w:hint="eastAsia"/>
          <w:color w:val="333333"/>
        </w:rPr>
        <w:t>避免类案不同</w:t>
      </w:r>
      <w:proofErr w:type="gramEnd"/>
      <w:r>
        <w:rPr>
          <w:rFonts w:ascii="微软雅黑" w:eastAsia="微软雅黑" w:hAnsi="微软雅黑" w:hint="eastAsia"/>
          <w:color w:val="333333"/>
        </w:rPr>
        <w:t>罚。严禁逐利罚款，严禁对已超过法定追责期限的违法行为给予罚款。加大对重点领域的执法力度，对严重违法行为，要依法落实“处罚到人”要求，坚决维护企业和群众合法权益。行政机关实施处罚时应当责令当事人改正或者限期改正违法行为，不得只罚款而不纠正违法行为。</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十）坚持公正文明执法。国务院部门和省、自治区、直辖市人民政府及其有关部门要根据不同地域、领域等实际情况，科学细化行政处罚法第三十二条、第三十三条规定的适用情形。行政机关实施罚款等处罚时，要统筹考虑相关法律规范与行政处罚法的适用关系，符合行政处罚法第三十二条规定的从轻、减轻处罚或者第三十三条等规定的不予、可以不予处罚情形的，要适用行政处罚法依法</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相应处理。鼓励行政机关制定不予、可以不予、减轻、从轻、从重罚款等处</w:t>
      </w:r>
      <w:r>
        <w:rPr>
          <w:rFonts w:ascii="微软雅黑" w:eastAsia="微软雅黑" w:hAnsi="微软雅黑" w:hint="eastAsia"/>
          <w:color w:val="333333"/>
        </w:rPr>
        <w:lastRenderedPageBreak/>
        <w:t>罚清单，依据行政处罚法、相关法律规范定期梳理、发布典型案例，加强指导、培训。制定罚款等处罚清单或者实施罚款时，要统筹考虑法律制度与客观实际、合法性与合理性、具体条款与原则规定，确保过罚相当、法理相融。行政执法人员要文明执法，尊重和保护当事人合法权益，准确使用文明执法用语，注重提升行政执法形象，依法文明应对突发情况。行政机关要根据实际情况，细化对行政执法人员的追责免责相关办法。</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（十一）坚持处罚与教育相结合。认真落实“谁执法谁普法”普法责任制，将普法教育贯穿于行政</w:t>
      </w:r>
      <w:proofErr w:type="gramStart"/>
      <w:r>
        <w:rPr>
          <w:rFonts w:ascii="微软雅黑" w:eastAsia="微软雅黑" w:hAnsi="微软雅黑" w:hint="eastAsia"/>
          <w:color w:val="333333"/>
        </w:rPr>
        <w:t>处罚全</w:t>
      </w:r>
      <w:proofErr w:type="gramEnd"/>
      <w:r>
        <w:rPr>
          <w:rFonts w:ascii="微软雅黑" w:eastAsia="微软雅黑" w:hAnsi="微软雅黑" w:hint="eastAsia"/>
          <w:color w:val="333333"/>
        </w:rPr>
        <w:t>过程，引导企业和群众依法经营、自觉守法，努力预防和化解违法风险。要充分考虑社会公众的切身感受，确保罚款决定符合法理，并考虑相关事理和情理，优化罚款决定延期、分期履行制度。要依法广泛综合运用说服教育、劝导示范、指导约谈等方式，让执法既有力度又有温度。总结证券等领域经验做法，在部分领域研究、探索运用行政和解等非强制行政手段。鼓励行政机关建立与企业和群众常态化沟通机制，加强跟进帮扶指导，探索构建“预防为主、轻微免罚、重违严惩、过罚相当、事后回访”等执法模式。</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（十二）持续规范非现场执法。县级以上地方人民政府有关部门、乡镇人民政府（街道办事处）要在2024年12月底前完成执法类电子技术监控设备（以下简称监控设备）清理、规范工作，及时停止使用不合法、不合</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不必要的监控设备，清理结果分别报本级人民政府、上级人民政府；每年年底前，县级以上地方人民政府有关部门、乡镇人民政府（街道办事处）要分别向本级人民政府、上级人民政府报告监控设备新增情况，司法行政部门加强执法监督。利用监控设备收集、固定违法事实的，应当经过法制和技术审核，根据监管需要确定监控设备的设置地点、间距和数量等，设置地点要有明显可见的标识，投入使用前要及</w:t>
      </w:r>
      <w:r>
        <w:rPr>
          <w:rFonts w:ascii="微软雅黑" w:eastAsia="微软雅黑" w:hAnsi="微软雅黑" w:hint="eastAsia"/>
          <w:color w:val="333333"/>
        </w:rPr>
        <w:lastRenderedPageBreak/>
        <w:t>时向社会公布，严禁为增加罚款收入脱离实际监管需要随意设置。要确保计量准确，未经依法检定、逾期未检定或者检定不合格的，不得使用。要充分运用大数据分析</w:t>
      </w:r>
      <w:proofErr w:type="gramStart"/>
      <w:r>
        <w:rPr>
          <w:rFonts w:ascii="微软雅黑" w:eastAsia="微软雅黑" w:hAnsi="微软雅黑" w:hint="eastAsia"/>
          <w:color w:val="333333"/>
        </w:rPr>
        <w:t>研</w:t>
      </w:r>
      <w:proofErr w:type="gramEnd"/>
      <w:r>
        <w:rPr>
          <w:rFonts w:ascii="微软雅黑" w:eastAsia="微软雅黑" w:hAnsi="微软雅黑" w:hint="eastAsia"/>
          <w:color w:val="333333"/>
        </w:rPr>
        <w:t>判，对违法事实采集量、罚款数额畸高的监控设备开展重点监督，违法违规设置或者滥用监控设备的立即停用，限期核查评估整改。</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Style w:val="a4"/>
          <w:rFonts w:ascii="微软雅黑" w:eastAsia="微软雅黑" w:hAnsi="微软雅黑" w:hint="eastAsia"/>
          <w:color w:val="333333"/>
        </w:rPr>
        <w:t>四、全面强化罚款监督</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（十三）深入开展源头治理。坚决防止以罚增收、以罚代管、逐利罚款等行为，严格规范罚款，推进事中事后监管法治化、制度化、规范化。对社会关注度较高、投诉举报集中、违法行为频繁发生</w:t>
      </w:r>
      <w:proofErr w:type="gramStart"/>
      <w:r>
        <w:rPr>
          <w:rFonts w:ascii="微软雅黑" w:eastAsia="微软雅黑" w:hAnsi="微软雅黑" w:hint="eastAsia"/>
          <w:color w:val="333333"/>
        </w:rPr>
        <w:t>等罚款</w:t>
      </w:r>
      <w:proofErr w:type="gramEnd"/>
      <w:r>
        <w:rPr>
          <w:rFonts w:ascii="微软雅黑" w:eastAsia="微软雅黑" w:hAnsi="微软雅黑" w:hint="eastAsia"/>
          <w:color w:val="333333"/>
        </w:rPr>
        <w:t>事项，要综合分析</w:t>
      </w:r>
      <w:proofErr w:type="gramStart"/>
      <w:r>
        <w:rPr>
          <w:rFonts w:ascii="微软雅黑" w:eastAsia="微软雅黑" w:hAnsi="微软雅黑" w:hint="eastAsia"/>
          <w:color w:val="333333"/>
        </w:rPr>
        <w:t>研</w:t>
      </w:r>
      <w:proofErr w:type="gramEnd"/>
      <w:r>
        <w:rPr>
          <w:rFonts w:ascii="微软雅黑" w:eastAsia="微软雅黑" w:hAnsi="微软雅黑" w:hint="eastAsia"/>
          <w:color w:val="333333"/>
        </w:rPr>
        <w:t>判，优化管理措施，不能只罚不管；行政机关不作为的，上级行政机关要加强监督，</w:t>
      </w:r>
      <w:proofErr w:type="gramStart"/>
      <w:r>
        <w:rPr>
          <w:rFonts w:ascii="微软雅黑" w:eastAsia="微软雅黑" w:hAnsi="微软雅黑" w:hint="eastAsia"/>
          <w:color w:val="333333"/>
        </w:rPr>
        <w:t>符合问责规定</w:t>
      </w:r>
      <w:proofErr w:type="gramEnd"/>
      <w:r>
        <w:rPr>
          <w:rFonts w:ascii="微软雅黑" w:eastAsia="微软雅黑" w:hAnsi="微软雅黑" w:hint="eastAsia"/>
          <w:color w:val="333333"/>
        </w:rPr>
        <w:t>的，严肃问责。要坚持系统观念，对涉及公共安全和群众生命健康等行业、领域中的普遍性问题，要推动从个案办理</w:t>
      </w:r>
      <w:proofErr w:type="gramStart"/>
      <w:r>
        <w:rPr>
          <w:rFonts w:ascii="微软雅黑" w:eastAsia="微软雅黑" w:hAnsi="微软雅黑" w:hint="eastAsia"/>
          <w:color w:val="333333"/>
        </w:rPr>
        <w:t>到类案</w:t>
      </w:r>
      <w:proofErr w:type="gramEnd"/>
      <w:r>
        <w:rPr>
          <w:rFonts w:ascii="微软雅黑" w:eastAsia="微软雅黑" w:hAnsi="微软雅黑" w:hint="eastAsia"/>
          <w:color w:val="333333"/>
        </w:rPr>
        <w:t>管理再到系统治理，实现“办理一案、治理一类、影响一域”。</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十四）持续加强财会审计监督。行政机关要将应当上缴的罚款收入，按照规定缴入国库，任何部门、单位和个人不得截留、私分、占用、挪用或者拖欠。对当事人不及时足额缴纳罚款的，行政机关要及时启动追缴程序，履行追缴职责。坚决防止罚款收入不合理增长，严肃查处罚款收入不真实、违规处置罚款收入等问题。财政部门要加强对罚缴分离、收支两条线等制度实施情况的监督，会同有关部门按规定开展专项监督检查。要依法加强对罚款收入的规范化管理，强化对罚款收入异常变化的监督，同一地区、同一部门罚款收入同比异常上升的，必要时开展实地核查。强化中央与地方监督上下联动，压实财政、审计等部门的监督责任。</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（十五）充分发挥监督合力。各地区、各部门要健全和完善重大行政处罚备案制度和行政执法统计年报制度。县级以上地方人民政府司法行政部门要加强案卷评查等行政执法监督工作，对违法或者</w:t>
      </w:r>
      <w:proofErr w:type="gramStart"/>
      <w:r>
        <w:rPr>
          <w:rFonts w:ascii="微软雅黑" w:eastAsia="微软雅黑" w:hAnsi="微软雅黑" w:hint="eastAsia"/>
          <w:color w:val="333333"/>
        </w:rPr>
        <w:t>明显过</w:t>
      </w:r>
      <w:proofErr w:type="gramEnd"/>
      <w:r>
        <w:rPr>
          <w:rFonts w:ascii="微软雅黑" w:eastAsia="微软雅黑" w:hAnsi="微软雅黑" w:hint="eastAsia"/>
          <w:color w:val="333333"/>
        </w:rPr>
        <w:t>罚不当的，要督促有关行政机关予以改正；对不及时改正的，要报请本级人民政府责令改正。拓宽监督渠道，建立行政执法监督与12345政务服务便民热线等监督渠道的信息共享工作机制。充分发挥行政复议化解行政争议的主渠道作用，促进行政复议案件繁简分流，依法纠正违法或者不当的罚款决定。对罚款决定被依法变更、撤销、确认违法或者确认无效的，有关行政机关和财政部门要及时办理罚款退还等手续。加大规章备案审查力度，审查发现规章违法变更法律、行政法规、地方性法规规定的罚款实施主体、对象范围、行为种类或者数额幅度的，要及时予以纠正，切实维护国家法制统一。要加强分析</w:t>
      </w:r>
      <w:proofErr w:type="gramStart"/>
      <w:r>
        <w:rPr>
          <w:rFonts w:ascii="微软雅黑" w:eastAsia="微软雅黑" w:hAnsi="微软雅黑" w:hint="eastAsia"/>
          <w:color w:val="333333"/>
        </w:rPr>
        <w:t>研</w:t>
      </w:r>
      <w:proofErr w:type="gramEnd"/>
      <w:r>
        <w:rPr>
          <w:rFonts w:ascii="微软雅黑" w:eastAsia="微软雅黑" w:hAnsi="微软雅黑" w:hint="eastAsia"/>
          <w:color w:val="333333"/>
        </w:rPr>
        <w:t>判和指导监督，收集梳理高频投诉事项和网络舆情，对设定或者实施罚款中的典型违法问题予以及时通报和点名曝光，依法依规对相关人员给予处分。</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各地区、各部门要将规范和监督罚款设定与实施，作为提升政府治理能力、维护公共利益和社会秩序、优化营商环境的重要抓手，认真贯彻实施行政处罚法和《国务院关于进一步贯彻实施〈中华人民共和国行政处罚法〉的通知》（国发〔2021〕26号）等，系统梳理涉及罚款事项的行政法规、规章，加快修改完善相关制度。司法部要加强统筹协调监督，组织推动完善行政处罚制度、做好有关解释答复工作，指导监督各地区、各部门抓好贯彻实施，重要情况和问题及时报国务院。</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国务院</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 </w:t>
      </w:r>
      <w:r>
        <w:rPr>
          <w:rFonts w:ascii="微软雅黑" w:eastAsia="微软雅黑" w:hAnsi="微软雅黑" w:hint="eastAsia"/>
          <w:color w:val="333333"/>
        </w:rPr>
        <w:t>2024年2月9日</w:t>
      </w:r>
    </w:p>
    <w:p w:rsidR="00A021C0" w:rsidRDefault="00A021C0" w:rsidP="00A021C0">
      <w:pPr>
        <w:pStyle w:val="a3"/>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333333"/>
        </w:rPr>
        <w:t>（此件公开发布）</w:t>
      </w:r>
    </w:p>
    <w:p w:rsidR="00C60946" w:rsidRDefault="00C60946">
      <w:pPr>
        <w:rPr>
          <w:rFonts w:hint="eastAsia"/>
        </w:rPr>
      </w:pPr>
      <w:bookmarkStart w:id="0" w:name="_GoBack"/>
      <w:bookmarkEnd w:id="0"/>
    </w:p>
    <w:sectPr w:rsidR="00C60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286"/>
    <w:rsid w:val="004E7286"/>
    <w:rsid w:val="00A021C0"/>
    <w:rsid w:val="00C6094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21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21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21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2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14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4201</Characters>
  <Application>Microsoft Office Word</Application>
  <DocSecurity>0</DocSecurity>
  <Lines>35</Lines>
  <Paragraphs>9</Paragraphs>
  <ScaleCrop>false</ScaleCrop>
  <Company>microsoft</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3</cp:revision>
  <dcterms:created xsi:type="dcterms:W3CDTF">2024-03-19T01:34:00Z</dcterms:created>
  <dcterms:modified xsi:type="dcterms:W3CDTF">2024-03-19T01:34:00Z</dcterms:modified>
</cp:coreProperties>
</file>