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3A9161">
      <w:pPr>
        <w:spacing w:line="500" w:lineRule="exact"/>
        <w:jc w:val="center"/>
        <w:rPr>
          <w:rFonts w:hint="eastAsia" w:ascii="方正小标宋简体" w:hAnsi="方正小标宋简体" w:eastAsia="方正小标宋简体" w:cs="方正小标宋简体"/>
          <w:sz w:val="44"/>
          <w:szCs w:val="44"/>
        </w:rPr>
      </w:pPr>
      <w:bookmarkStart w:id="4" w:name="_GoBack"/>
      <w:r>
        <w:rPr>
          <w:rFonts w:hint="eastAsia" w:ascii="方正小标宋简体" w:hAnsi="方正小标宋简体" w:eastAsia="方正小标宋简体" w:cs="方正小标宋简体"/>
          <w:sz w:val="44"/>
          <w:szCs w:val="44"/>
        </w:rPr>
        <w:t>阿鲁科</w:t>
      </w:r>
      <w:r>
        <w:rPr>
          <w:rFonts w:hint="eastAsia" w:ascii="方正小标宋简体" w:hAnsi="方正小标宋简体" w:eastAsia="方正小标宋简体" w:cs="方正小标宋简体"/>
          <w:sz w:val="44"/>
          <w:szCs w:val="44"/>
        </w:rPr>
        <w:t>尔沁旗直属国有企业投资管理办法</w:t>
      </w:r>
    </w:p>
    <w:p w14:paraId="40A2FAE2">
      <w:pPr>
        <w:spacing w:line="50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征求意见稿</w:t>
      </w:r>
      <w:r>
        <w:rPr>
          <w:rFonts w:hint="eastAsia" w:ascii="方正小标宋简体" w:hAnsi="方正小标宋简体" w:eastAsia="方正小标宋简体" w:cs="方正小标宋简体"/>
          <w:sz w:val="44"/>
          <w:szCs w:val="44"/>
          <w:lang w:eastAsia="zh-CN"/>
        </w:rPr>
        <w:t>）</w:t>
      </w:r>
      <w:bookmarkEnd w:id="4"/>
    </w:p>
    <w:p w14:paraId="7B349D93">
      <w:pPr>
        <w:spacing w:line="500" w:lineRule="exact"/>
        <w:jc w:val="center"/>
        <w:rPr>
          <w:rFonts w:hint="eastAsia" w:ascii="方正小标宋简体" w:hAnsi="方正小标宋简体" w:eastAsia="方正小标宋简体" w:cs="方正小标宋简体"/>
          <w:sz w:val="44"/>
          <w:szCs w:val="44"/>
          <w:lang w:eastAsia="zh-CN"/>
        </w:rPr>
      </w:pPr>
    </w:p>
    <w:p w14:paraId="60E7E4B1">
      <w:pPr>
        <w:spacing w:line="500" w:lineRule="exact"/>
        <w:jc w:val="center"/>
        <w:rPr>
          <w:rFonts w:hint="eastAsia" w:ascii="黑体" w:hAnsi="黑体" w:eastAsia="黑体" w:cs="黑体"/>
          <w:sz w:val="32"/>
          <w:szCs w:val="32"/>
        </w:rPr>
      </w:pPr>
      <w:r>
        <w:rPr>
          <w:rFonts w:hint="eastAsia" w:ascii="黑体" w:hAnsi="黑体" w:eastAsia="黑体" w:cs="黑体"/>
          <w:sz w:val="32"/>
          <w:szCs w:val="32"/>
        </w:rPr>
        <w:t>第一章 总则</w:t>
      </w:r>
    </w:p>
    <w:p w14:paraId="02013E0E">
      <w:pPr>
        <w:spacing w:line="500" w:lineRule="exact"/>
        <w:ind w:firstLine="643" w:firstLineChars="200"/>
        <w:rPr>
          <w:rFonts w:hint="eastAsia" w:ascii="楷体_GB2312" w:hAnsi="楷体_GB2312" w:eastAsia="楷体_GB2312" w:cs="楷体_GB2312"/>
          <w:b/>
          <w:bCs/>
          <w:sz w:val="32"/>
          <w:szCs w:val="32"/>
        </w:rPr>
      </w:pPr>
    </w:p>
    <w:p w14:paraId="3B3D4BD1">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 xml:space="preserve">第一条 </w:t>
      </w:r>
      <w:r>
        <w:rPr>
          <w:rFonts w:hint="eastAsia" w:ascii="仿宋_GB2312" w:hAnsi="仿宋_GB2312" w:eastAsia="仿宋_GB2312" w:cs="仿宋_GB2312"/>
          <w:sz w:val="32"/>
          <w:szCs w:val="32"/>
        </w:rPr>
        <w:t>为依法履行国有资产出资人职责，规范旗直属国有企业的投资活动，提高投资决策的科学性和规范性，防范投资风险，确保国有资产保值增值，根据国家相关法律法规，结合我旗实际，制定本办法。</w:t>
      </w:r>
    </w:p>
    <w:p w14:paraId="399271E2">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 xml:space="preserve">第二条 </w:t>
      </w:r>
      <w:r>
        <w:rPr>
          <w:rFonts w:hint="eastAsia" w:ascii="仿宋_GB2312" w:hAnsi="仿宋_GB2312" w:eastAsia="仿宋_GB2312" w:cs="仿宋_GB2312"/>
          <w:sz w:val="32"/>
          <w:szCs w:val="32"/>
        </w:rPr>
        <w:t>本办法适用于旗国资监管部门履行出资人职责的旗直属国有企业（以下统称“企业”）。</w:t>
      </w:r>
    </w:p>
    <w:p w14:paraId="4227C697">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 xml:space="preserve">第三条 </w:t>
      </w:r>
      <w:r>
        <w:rPr>
          <w:rFonts w:hint="eastAsia" w:ascii="仿宋_GB2312" w:hAnsi="仿宋_GB2312" w:eastAsia="仿宋_GB2312" w:cs="仿宋_GB2312"/>
          <w:sz w:val="32"/>
          <w:szCs w:val="32"/>
        </w:rPr>
        <w:t>本办法所称投资，是指企业以现金、实物、公司股权、有价证券、无形资产等资源投入市场获取未来收益的行为。主要包括</w:t>
      </w:r>
      <w:r>
        <w:rPr>
          <w:rFonts w:hint="eastAsia" w:ascii="仿宋_GB2312" w:hAnsi="仿宋_GB2312" w:eastAsia="仿宋_GB2312" w:cs="仿宋_GB2312"/>
          <w:sz w:val="32"/>
          <w:szCs w:val="32"/>
          <w:lang w:eastAsia="zh-CN"/>
        </w:rPr>
        <w:t>下述</w:t>
      </w:r>
      <w:r>
        <w:rPr>
          <w:rFonts w:hint="eastAsia" w:ascii="仿宋_GB2312" w:hAnsi="仿宋_GB2312" w:eastAsia="仿宋_GB2312" w:cs="仿宋_GB2312"/>
          <w:sz w:val="32"/>
          <w:szCs w:val="32"/>
        </w:rPr>
        <w:t>投资活动：</w:t>
      </w:r>
    </w:p>
    <w:p w14:paraId="0AFA6062">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股权投资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包括受让股权、收购兼并、合资合作、对非出资企业新增投资等，以及设立全资、控股、参股企业投资等</w:t>
      </w:r>
      <w:r>
        <w:rPr>
          <w:rFonts w:hint="eastAsia" w:ascii="仿宋_GB2312" w:hAnsi="仿宋_GB2312" w:eastAsia="仿宋_GB2312" w:cs="仿宋_GB2312"/>
          <w:sz w:val="32"/>
          <w:szCs w:val="32"/>
          <w:lang w:eastAsia="zh-CN"/>
        </w:rPr>
        <w:t>；</w:t>
      </w:r>
    </w:p>
    <w:p w14:paraId="425034B1">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固定资产投资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包括基本建设投资、更新改造投资等</w:t>
      </w:r>
      <w:r>
        <w:rPr>
          <w:rFonts w:hint="eastAsia" w:ascii="仿宋_GB2312" w:hAnsi="仿宋_GB2312" w:eastAsia="仿宋_GB2312" w:cs="仿宋_GB2312"/>
          <w:sz w:val="32"/>
          <w:szCs w:val="32"/>
          <w:lang w:eastAsia="zh-CN"/>
        </w:rPr>
        <w:t>；</w:t>
      </w:r>
    </w:p>
    <w:p w14:paraId="1A0240C5">
      <w:pPr>
        <w:spacing w:line="500" w:lineRule="exact"/>
        <w:ind w:firstLine="566" w:firstLineChars="177"/>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金融投资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包括证券投资、期货投资、委托理财等。</w:t>
      </w:r>
    </w:p>
    <w:p w14:paraId="637B9091">
      <w:pPr>
        <w:spacing w:line="500" w:lineRule="exact"/>
        <w:ind w:firstLine="569" w:firstLineChars="177"/>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第四条</w:t>
      </w:r>
      <w:r>
        <w:rPr>
          <w:rFonts w:hint="eastAsia" w:ascii="仿宋_GB2312" w:hAnsi="仿宋_GB2312" w:eastAsia="仿宋_GB2312" w:cs="仿宋_GB2312"/>
          <w:sz w:val="32"/>
          <w:szCs w:val="32"/>
        </w:rPr>
        <w:t xml:space="preserve"> 旗国资监管部门依法通过以下形式对企业投资活动进行监督管理</w:t>
      </w:r>
      <w:r>
        <w:rPr>
          <w:rFonts w:hint="eastAsia" w:ascii="仿宋_GB2312" w:hAnsi="仿宋_GB2312" w:eastAsia="仿宋_GB2312" w:cs="仿宋_GB2312"/>
          <w:sz w:val="32"/>
          <w:szCs w:val="32"/>
          <w:lang w:eastAsia="zh-CN"/>
        </w:rPr>
        <w:t>：</w:t>
      </w:r>
    </w:p>
    <w:p w14:paraId="16660410">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组织研究国有资本投资导向</w:t>
      </w:r>
      <w:r>
        <w:rPr>
          <w:rFonts w:hint="eastAsia" w:ascii="仿宋_GB2312" w:hAnsi="仿宋_GB2312" w:eastAsia="仿宋_GB2312" w:cs="仿宋_GB2312"/>
          <w:sz w:val="32"/>
          <w:szCs w:val="32"/>
          <w:lang w:eastAsia="zh-CN"/>
        </w:rPr>
        <w:t>；</w:t>
      </w:r>
    </w:p>
    <w:p w14:paraId="62B6972D">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依法对企业投资活动进行核准或备案</w:t>
      </w:r>
      <w:r>
        <w:rPr>
          <w:rFonts w:hint="eastAsia" w:ascii="仿宋_GB2312" w:hAnsi="仿宋_GB2312" w:eastAsia="仿宋_GB2312" w:cs="仿宋_GB2312"/>
          <w:sz w:val="32"/>
          <w:szCs w:val="32"/>
          <w:lang w:eastAsia="zh-CN"/>
        </w:rPr>
        <w:t>；</w:t>
      </w:r>
    </w:p>
    <w:p w14:paraId="11D2907D">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督促企业制定和实施年度投资计划</w:t>
      </w:r>
      <w:r>
        <w:rPr>
          <w:rFonts w:hint="eastAsia" w:ascii="仿宋_GB2312" w:hAnsi="仿宋_GB2312" w:eastAsia="仿宋_GB2312" w:cs="仿宋_GB2312"/>
          <w:sz w:val="32"/>
          <w:szCs w:val="32"/>
          <w:lang w:eastAsia="zh-CN"/>
        </w:rPr>
        <w:t>；</w:t>
      </w:r>
    </w:p>
    <w:p w14:paraId="55FDB78B">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指导企业建立健全投资决策程序和管理制度</w:t>
      </w:r>
      <w:r>
        <w:rPr>
          <w:rFonts w:hint="eastAsia" w:ascii="仿宋_GB2312" w:hAnsi="仿宋_GB2312" w:eastAsia="仿宋_GB2312" w:cs="仿宋_GB2312"/>
          <w:sz w:val="32"/>
          <w:szCs w:val="32"/>
          <w:lang w:eastAsia="zh-CN"/>
        </w:rPr>
        <w:t>；</w:t>
      </w:r>
    </w:p>
    <w:p w14:paraId="017728D1">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组织开展投资分析活动，对企业投资项目实施稽查、审计、后评价等动态监督管理</w:t>
      </w:r>
      <w:r>
        <w:rPr>
          <w:rFonts w:hint="eastAsia" w:ascii="仿宋_GB2312" w:hAnsi="仿宋_GB2312" w:eastAsia="仿宋_GB2312" w:cs="仿宋_GB2312"/>
          <w:sz w:val="32"/>
          <w:szCs w:val="32"/>
          <w:lang w:eastAsia="zh-CN"/>
        </w:rPr>
        <w:t>；</w:t>
      </w:r>
    </w:p>
    <w:p w14:paraId="53657AD2">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其他法定职责。</w:t>
      </w:r>
    </w:p>
    <w:p w14:paraId="77259A29">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第五条</w:t>
      </w:r>
      <w:r>
        <w:rPr>
          <w:rFonts w:hint="eastAsia" w:ascii="仿宋_GB2312" w:hAnsi="仿宋_GB2312" w:eastAsia="仿宋_GB2312" w:cs="仿宋_GB2312"/>
          <w:sz w:val="32"/>
          <w:szCs w:val="32"/>
        </w:rPr>
        <w:t xml:space="preserve"> 企业投资活动应当遵循以下原则</w:t>
      </w:r>
      <w:r>
        <w:rPr>
          <w:rFonts w:hint="eastAsia" w:ascii="仿宋_GB2312" w:hAnsi="仿宋_GB2312" w:eastAsia="仿宋_GB2312" w:cs="仿宋_GB2312"/>
          <w:sz w:val="32"/>
          <w:szCs w:val="32"/>
          <w:lang w:eastAsia="zh-CN"/>
        </w:rPr>
        <w:t>：</w:t>
      </w:r>
    </w:p>
    <w:p w14:paraId="78981452">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符合国家、自治区有关产业政策、赤峰市和阿旗国有经济布局战略性调整要求</w:t>
      </w:r>
      <w:r>
        <w:rPr>
          <w:rFonts w:hint="eastAsia" w:ascii="仿宋_GB2312" w:hAnsi="仿宋_GB2312" w:eastAsia="仿宋_GB2312" w:cs="仿宋_GB2312"/>
          <w:sz w:val="32"/>
          <w:szCs w:val="32"/>
          <w:lang w:eastAsia="zh-CN"/>
        </w:rPr>
        <w:t>；</w:t>
      </w:r>
    </w:p>
    <w:p w14:paraId="7D5090AF">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符合企业发展战略和规划，突出主业</w:t>
      </w:r>
      <w:r>
        <w:rPr>
          <w:rFonts w:hint="eastAsia" w:ascii="仿宋_GB2312" w:hAnsi="仿宋_GB2312" w:eastAsia="仿宋_GB2312" w:cs="仿宋_GB2312"/>
          <w:sz w:val="32"/>
          <w:szCs w:val="32"/>
          <w:lang w:eastAsia="zh-CN"/>
        </w:rPr>
        <w:t>；</w:t>
      </w:r>
    </w:p>
    <w:p w14:paraId="16CB965E">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非主业投资应当符合企业调整、改革方向，不影响主业的发展</w:t>
      </w:r>
      <w:r>
        <w:rPr>
          <w:rFonts w:hint="eastAsia" w:ascii="仿宋_GB2312" w:hAnsi="仿宋_GB2312" w:eastAsia="仿宋_GB2312" w:cs="仿宋_GB2312"/>
          <w:sz w:val="32"/>
          <w:szCs w:val="32"/>
          <w:lang w:eastAsia="zh-CN"/>
        </w:rPr>
        <w:t>；</w:t>
      </w:r>
    </w:p>
    <w:p w14:paraId="1B545351">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符合投资决策程序和管理制度</w:t>
      </w:r>
      <w:r>
        <w:rPr>
          <w:rFonts w:hint="eastAsia" w:ascii="仿宋_GB2312" w:hAnsi="仿宋_GB2312" w:eastAsia="仿宋_GB2312" w:cs="仿宋_GB2312"/>
          <w:sz w:val="32"/>
          <w:szCs w:val="32"/>
          <w:lang w:eastAsia="zh-CN"/>
        </w:rPr>
        <w:t>；</w:t>
      </w:r>
    </w:p>
    <w:p w14:paraId="0D0D02A0">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投资规模应当与企业资产经营规模、资产负债水平相适应</w:t>
      </w:r>
      <w:r>
        <w:rPr>
          <w:rFonts w:hint="eastAsia" w:ascii="仿宋_GB2312" w:hAnsi="仿宋_GB2312" w:eastAsia="仿宋_GB2312" w:cs="仿宋_GB2312"/>
          <w:sz w:val="32"/>
          <w:szCs w:val="32"/>
          <w:lang w:eastAsia="zh-CN"/>
        </w:rPr>
        <w:t>；</w:t>
      </w:r>
    </w:p>
    <w:p w14:paraId="472A7071">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非公益性项目预期投资收益不低于五年期银行贷款利率</w:t>
      </w:r>
      <w:bookmarkStart w:id="0" w:name="_Hlk226360209"/>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承担政府决策、行业部门技术改造项目或重大科技成果转化项目除外</w:t>
      </w:r>
      <w:r>
        <w:rPr>
          <w:rFonts w:hint="eastAsia" w:ascii="仿宋_GB2312" w:hAnsi="仿宋_GB2312" w:eastAsia="仿宋_GB2312" w:cs="仿宋_GB2312"/>
          <w:sz w:val="32"/>
          <w:szCs w:val="32"/>
          <w:lang w:eastAsia="zh-CN"/>
        </w:rPr>
        <w:t>）</w:t>
      </w:r>
      <w:bookmarkEnd w:id="0"/>
      <w:r>
        <w:rPr>
          <w:rFonts w:hint="eastAsia" w:ascii="仿宋_GB2312" w:hAnsi="仿宋_GB2312" w:eastAsia="仿宋_GB2312" w:cs="仿宋_GB2312"/>
          <w:sz w:val="32"/>
          <w:szCs w:val="32"/>
        </w:rPr>
        <w:t>。</w:t>
      </w:r>
    </w:p>
    <w:p w14:paraId="7606A4A0">
      <w:pPr>
        <w:spacing w:line="500" w:lineRule="exact"/>
        <w:ind w:firstLine="640" w:firstLineChars="200"/>
        <w:rPr>
          <w:rFonts w:hint="eastAsia" w:ascii="仿宋_GB2312" w:hAnsi="仿宋_GB2312" w:eastAsia="仿宋_GB2312" w:cs="仿宋_GB2312"/>
          <w:sz w:val="32"/>
          <w:szCs w:val="32"/>
        </w:rPr>
      </w:pPr>
    </w:p>
    <w:p w14:paraId="26F765E3">
      <w:pPr>
        <w:spacing w:line="500" w:lineRule="exact"/>
        <w:jc w:val="center"/>
        <w:rPr>
          <w:rFonts w:hint="eastAsia" w:ascii="黑体" w:hAnsi="黑体" w:eastAsia="黑体" w:cs="黑体"/>
          <w:sz w:val="32"/>
          <w:szCs w:val="32"/>
        </w:rPr>
      </w:pPr>
      <w:r>
        <w:rPr>
          <w:rFonts w:hint="eastAsia" w:ascii="黑体" w:hAnsi="黑体" w:eastAsia="黑体" w:cs="黑体"/>
          <w:sz w:val="32"/>
          <w:szCs w:val="32"/>
        </w:rPr>
        <w:t>第二章 投资项目管理权限</w:t>
      </w:r>
    </w:p>
    <w:p w14:paraId="7C0C8988">
      <w:pPr>
        <w:spacing w:line="500" w:lineRule="exact"/>
        <w:ind w:firstLine="640" w:firstLineChars="200"/>
        <w:rPr>
          <w:rFonts w:hint="eastAsia" w:ascii="仿宋_GB2312" w:hAnsi="仿宋_GB2312" w:eastAsia="仿宋_GB2312" w:cs="仿宋_GB2312"/>
          <w:sz w:val="32"/>
          <w:szCs w:val="32"/>
        </w:rPr>
      </w:pPr>
    </w:p>
    <w:p w14:paraId="08051EF8">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第六条</w:t>
      </w:r>
      <w:r>
        <w:rPr>
          <w:rFonts w:hint="eastAsia" w:ascii="仿宋_GB2312" w:hAnsi="仿宋_GB2312" w:eastAsia="仿宋_GB2312" w:cs="仿宋_GB2312"/>
          <w:sz w:val="32"/>
          <w:szCs w:val="32"/>
        </w:rPr>
        <w:t xml:space="preserve"> 企业在主业范围内进行的投资项目，投资额在1000万元以下的由企业按决策程序决定并报</w:t>
      </w:r>
      <w:bookmarkStart w:id="1" w:name="_Hlk226049668"/>
      <w:r>
        <w:rPr>
          <w:rFonts w:hint="eastAsia" w:ascii="仿宋_GB2312" w:hAnsi="仿宋_GB2312" w:eastAsia="仿宋_GB2312" w:cs="仿宋_GB2312"/>
          <w:sz w:val="32"/>
          <w:szCs w:val="32"/>
        </w:rPr>
        <w:t>旗国资监管部门</w:t>
      </w:r>
      <w:bookmarkEnd w:id="1"/>
      <w:r>
        <w:rPr>
          <w:rFonts w:hint="eastAsia" w:ascii="仿宋_GB2312" w:hAnsi="仿宋_GB2312" w:eastAsia="仿宋_GB2312" w:cs="仿宋_GB2312"/>
          <w:sz w:val="32"/>
          <w:szCs w:val="32"/>
        </w:rPr>
        <w:t>备案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投资额在1000万元以上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含1000万元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的报旗政府批准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特别重大投资事项由旗政府报旗委研究决定。</w:t>
      </w:r>
    </w:p>
    <w:p w14:paraId="4781CD9C">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项目投资额一般是指项目出资总额，项目一次规划分期投入的一并计算。</w:t>
      </w:r>
    </w:p>
    <w:p w14:paraId="59B9B861">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第七条</w:t>
      </w:r>
      <w:r>
        <w:rPr>
          <w:rFonts w:hint="eastAsia" w:ascii="仿宋_GB2312" w:hAnsi="仿宋_GB2312" w:eastAsia="仿宋_GB2312" w:cs="仿宋_GB2312"/>
          <w:sz w:val="32"/>
          <w:szCs w:val="32"/>
        </w:rPr>
        <w:t xml:space="preserve"> 企业在非主业范围的投资项目或主业范围内有下列情况之一的投资项目，由旗政府批准。</w:t>
      </w:r>
    </w:p>
    <w:p w14:paraId="44E351DB">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境外的投资项目</w:t>
      </w:r>
      <w:r>
        <w:rPr>
          <w:rFonts w:hint="eastAsia" w:ascii="仿宋_GB2312" w:hAnsi="仿宋_GB2312" w:eastAsia="仿宋_GB2312" w:cs="仿宋_GB2312"/>
          <w:sz w:val="32"/>
          <w:szCs w:val="32"/>
          <w:lang w:eastAsia="zh-CN"/>
        </w:rPr>
        <w:t>；</w:t>
      </w:r>
    </w:p>
    <w:p w14:paraId="5FC8189F">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与实际控制人为非国有经济主体进行合资、合作的投资项目</w:t>
      </w:r>
      <w:r>
        <w:rPr>
          <w:rFonts w:hint="eastAsia" w:ascii="仿宋_GB2312" w:hAnsi="仿宋_GB2312" w:eastAsia="仿宋_GB2312" w:cs="仿宋_GB2312"/>
          <w:sz w:val="32"/>
          <w:szCs w:val="32"/>
          <w:lang w:eastAsia="zh-CN"/>
        </w:rPr>
        <w:t>；</w:t>
      </w:r>
    </w:p>
    <w:p w14:paraId="1A657257">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资产负债率超过75%的旗直属国有企业进行的投资项目。</w:t>
      </w:r>
    </w:p>
    <w:p w14:paraId="40E040A2">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第八条</w:t>
      </w:r>
      <w:r>
        <w:rPr>
          <w:rFonts w:hint="eastAsia" w:ascii="仿宋_GB2312" w:hAnsi="仿宋_GB2312" w:eastAsia="仿宋_GB2312" w:cs="仿宋_GB2312"/>
          <w:sz w:val="32"/>
          <w:szCs w:val="32"/>
        </w:rPr>
        <w:t xml:space="preserve"> 企业承担政府决策的投资项目或根据行业管理要求进行技术改造项目，依据政府决策意见或行业管理部门要求执行，报旗国资监管部门备案。</w:t>
      </w:r>
    </w:p>
    <w:p w14:paraId="31AD5E63">
      <w:pPr>
        <w:spacing w:line="500" w:lineRule="exact"/>
        <w:ind w:firstLine="710" w:firstLineChars="221"/>
        <w:rPr>
          <w:rFonts w:hint="eastAsia" w:ascii="仿宋_GB2312" w:hAnsi="仿宋_GB2312" w:eastAsia="仿宋_GB2312" w:cs="仿宋_GB2312"/>
          <w:sz w:val="32"/>
          <w:szCs w:val="32"/>
        </w:rPr>
      </w:pPr>
      <w:r>
        <w:rPr>
          <w:rFonts w:hint="eastAsia" w:ascii="楷体_GB2312" w:hAnsi="仿宋_GB2312" w:eastAsia="楷体_GB2312" w:cs="仿宋_GB2312"/>
          <w:b/>
          <w:bCs/>
          <w:sz w:val="32"/>
          <w:szCs w:val="32"/>
        </w:rPr>
        <w:t>第九条</w:t>
      </w:r>
      <w:r>
        <w:rPr>
          <w:rFonts w:hint="eastAsia" w:ascii="仿宋_GB2312" w:hAnsi="仿宋_GB2312" w:eastAsia="仿宋_GB2312" w:cs="仿宋_GB2312"/>
          <w:sz w:val="32"/>
          <w:szCs w:val="32"/>
        </w:rPr>
        <w:t xml:space="preserve"> </w:t>
      </w:r>
      <w:r>
        <w:rPr>
          <w:rFonts w:hint="eastAsia" w:ascii="仿宋_GB2312" w:hAnsi="微软雅黑" w:eastAsia="仿宋_GB2312"/>
          <w:color w:val="333333"/>
          <w:sz w:val="32"/>
          <w:szCs w:val="32"/>
          <w:shd w:val="clear" w:color="auto" w:fill="FFFFFF"/>
        </w:rPr>
        <w:t>建立发布旗属企业投资项目负面清单，设定禁止类投资项目。</w:t>
      </w:r>
      <w:r>
        <w:rPr>
          <w:rFonts w:hint="eastAsia" w:ascii="仿宋_GB2312" w:hAnsi="微软雅黑" w:eastAsia="仿宋_GB2312" w:cs="微软雅黑"/>
          <w:sz w:val="32"/>
          <w:szCs w:val="32"/>
        </w:rPr>
        <w:t>对于禁止类的投资项目企业一律不得投资。</w:t>
      </w:r>
      <w:r>
        <w:rPr>
          <w:rFonts w:hint="eastAsia" w:ascii="仿宋_GB2312" w:hAnsi="微软雅黑" w:eastAsia="仿宋_GB2312"/>
          <w:color w:val="333333"/>
          <w:sz w:val="32"/>
          <w:szCs w:val="32"/>
          <w:shd w:val="clear" w:color="auto" w:fill="FFFFFF"/>
        </w:rPr>
        <w:t>负面清单内容保持相对稳定，并适时动态调整。</w:t>
      </w:r>
      <w:r>
        <w:rPr>
          <w:rFonts w:hint="eastAsia" w:ascii="仿宋_GB2312" w:hAnsi="黑体" w:eastAsia="仿宋_GB2312"/>
          <w:sz w:val="32"/>
          <w:szCs w:val="32"/>
        </w:rPr>
        <w:t>禁止类投资项目负面清单：</w:t>
      </w:r>
    </w:p>
    <w:p w14:paraId="2E57D870">
      <w:pPr>
        <w:spacing w:line="500" w:lineRule="exact"/>
        <w:ind w:firstLine="704" w:firstLineChars="220"/>
        <w:rPr>
          <w:rFonts w:hint="eastAsia" w:ascii="仿宋_GB2312" w:hAnsi="微软雅黑" w:eastAsia="仿宋_GB2312" w:cs="微软雅黑"/>
          <w:sz w:val="32"/>
          <w:szCs w:val="32"/>
        </w:rPr>
      </w:pPr>
      <w:r>
        <w:rPr>
          <w:rFonts w:hint="eastAsia" w:ascii="仿宋_GB2312" w:eastAsia="仿宋_GB2312"/>
          <w:sz w:val="32"/>
          <w:szCs w:val="32"/>
        </w:rPr>
        <w:t>1.不符合国家、自治区、赤峰市和阿旗产业政策、发</w:t>
      </w:r>
      <w:r>
        <w:rPr>
          <w:rFonts w:hint="eastAsia" w:ascii="仿宋_GB2312" w:hAnsi="微软雅黑" w:eastAsia="仿宋_GB2312" w:cs="微软雅黑"/>
          <w:sz w:val="32"/>
          <w:szCs w:val="32"/>
        </w:rPr>
        <w:t>展规划、国土空间规划、能耗双控、生态环保、安全生产、土地和消防等法律法规和政策要求的投资项目。</w:t>
      </w:r>
    </w:p>
    <w:p w14:paraId="7B170086">
      <w:pPr>
        <w:spacing w:line="500" w:lineRule="exact"/>
        <w:ind w:firstLine="704" w:firstLineChars="220"/>
        <w:rPr>
          <w:rFonts w:hint="eastAsia" w:ascii="仿宋_GB2312" w:hAnsi="微软雅黑" w:eastAsia="仿宋_GB2312" w:cs="微软雅黑"/>
          <w:sz w:val="32"/>
          <w:szCs w:val="32"/>
        </w:rPr>
      </w:pPr>
      <w:r>
        <w:rPr>
          <w:rFonts w:hint="eastAsia" w:ascii="仿宋_GB2312" w:hAnsi="微软雅黑" w:eastAsia="仿宋_GB2312" w:cs="微软雅黑"/>
          <w:sz w:val="32"/>
          <w:szCs w:val="32"/>
        </w:rPr>
        <w:t>2.不符合国有经济布局和结构调整方向，淘汰落后产能、高耗能高污染、产能严重过剩行业的新增投资项目。</w:t>
      </w:r>
    </w:p>
    <w:p w14:paraId="3C7C0B97">
      <w:pPr>
        <w:spacing w:line="500" w:lineRule="exact"/>
        <w:ind w:firstLine="704" w:firstLineChars="220"/>
        <w:rPr>
          <w:rFonts w:hint="eastAsia" w:ascii="仿宋_GB2312" w:hAnsi="微软雅黑" w:eastAsia="仿宋_GB2312" w:cs="微软雅黑"/>
          <w:sz w:val="32"/>
          <w:szCs w:val="32"/>
        </w:rPr>
      </w:pPr>
      <w:r>
        <w:rPr>
          <w:rFonts w:hint="eastAsia" w:ascii="仿宋_GB2312" w:hAnsi="微软雅黑" w:eastAsia="仿宋_GB2312" w:cs="微软雅黑"/>
          <w:sz w:val="32"/>
          <w:szCs w:val="32"/>
        </w:rPr>
        <w:t>3.未按规定履行企业内部董事会等投资决策程序，或超越决策权限擅自开展的重大投资项目。</w:t>
      </w:r>
    </w:p>
    <w:p w14:paraId="7DD583E2">
      <w:pPr>
        <w:spacing w:line="500" w:lineRule="exact"/>
        <w:ind w:firstLine="704" w:firstLineChars="220"/>
        <w:rPr>
          <w:rFonts w:hint="eastAsia" w:ascii="仿宋_GB2312" w:hAnsi="微软雅黑" w:eastAsia="仿宋_GB2312" w:cs="微软雅黑"/>
          <w:sz w:val="32"/>
          <w:szCs w:val="32"/>
        </w:rPr>
      </w:pPr>
      <w:r>
        <w:rPr>
          <w:rFonts w:hint="eastAsia" w:ascii="仿宋_GB2312" w:hAnsi="微软雅黑" w:eastAsia="仿宋_GB2312" w:cs="微软雅黑"/>
          <w:sz w:val="32"/>
          <w:szCs w:val="32"/>
        </w:rPr>
        <w:t>4.项目资本金低于国家及行业规定最低比例，或通过违规举债、挪用流动资金、挤占公益项目资金等方式筹措资金的项目。</w:t>
      </w:r>
    </w:p>
    <w:p w14:paraId="033161C0">
      <w:pPr>
        <w:spacing w:line="500" w:lineRule="exact"/>
        <w:ind w:firstLine="704" w:firstLineChars="220"/>
        <w:rPr>
          <w:rFonts w:hint="eastAsia" w:ascii="仿宋_GB2312" w:hAnsi="微软雅黑" w:eastAsia="仿宋_GB2312" w:cs="微软雅黑"/>
          <w:sz w:val="32"/>
          <w:szCs w:val="32"/>
        </w:rPr>
      </w:pPr>
      <w:r>
        <w:rPr>
          <w:rFonts w:hint="eastAsia" w:ascii="仿宋_GB2312" w:hAnsi="微软雅黑" w:eastAsia="仿宋_GB2312" w:cs="微软雅黑"/>
          <w:sz w:val="32"/>
          <w:szCs w:val="32"/>
        </w:rPr>
        <w:t>5.投资收益率低于同期5年期银行贷款利率</w:t>
      </w:r>
      <w:r>
        <w:rPr>
          <w:rFonts w:hint="eastAsia" w:ascii="仿宋_GB2312" w:hAnsi="微软雅黑" w:eastAsia="仿宋_GB2312" w:cs="微软雅黑"/>
          <w:sz w:val="32"/>
          <w:szCs w:val="32"/>
          <w:lang w:eastAsia="zh-CN"/>
        </w:rPr>
        <w:t>（</w:t>
      </w:r>
      <w:r>
        <w:rPr>
          <w:rFonts w:hint="eastAsia" w:ascii="仿宋_GB2312" w:hAnsi="仿宋_GB2312" w:eastAsia="仿宋_GB2312" w:cs="仿宋_GB2312"/>
          <w:sz w:val="32"/>
          <w:szCs w:val="32"/>
        </w:rPr>
        <w:t>承担政府决策、行业部门技术改造项目或重大科技成果转化项目除外</w:t>
      </w:r>
      <w:r>
        <w:rPr>
          <w:rFonts w:hint="eastAsia" w:ascii="仿宋_GB2312" w:hAnsi="仿宋_GB2312" w:eastAsia="仿宋_GB2312" w:cs="仿宋_GB2312"/>
          <w:sz w:val="32"/>
          <w:szCs w:val="32"/>
          <w:lang w:eastAsia="zh-CN"/>
        </w:rPr>
        <w:t>）</w:t>
      </w:r>
      <w:r>
        <w:rPr>
          <w:rFonts w:hint="eastAsia" w:ascii="仿宋_GB2312" w:hAnsi="微软雅黑" w:eastAsia="仿宋_GB2312" w:cs="微软雅黑"/>
          <w:sz w:val="32"/>
          <w:szCs w:val="32"/>
        </w:rPr>
        <w:t>的商业性投资项目，无法</w:t>
      </w:r>
      <w:r>
        <w:rPr>
          <w:rFonts w:hint="eastAsia" w:ascii="仿宋_GB2312" w:hAnsi="微软雅黑" w:eastAsia="仿宋_GB2312" w:cs="微软雅黑"/>
          <w:sz w:val="32"/>
          <w:szCs w:val="32"/>
          <w:lang w:eastAsia="zh-CN"/>
        </w:rPr>
        <w:t>覆盖</w:t>
      </w:r>
      <w:r>
        <w:rPr>
          <w:rFonts w:hint="eastAsia" w:ascii="仿宋_GB2312" w:hAnsi="微软雅黑" w:eastAsia="仿宋_GB2312" w:cs="微软雅黑"/>
          <w:sz w:val="32"/>
          <w:szCs w:val="32"/>
        </w:rPr>
        <w:t>融资成本、不具备合理投资回报的项目。</w:t>
      </w:r>
    </w:p>
    <w:p w14:paraId="187FC4EA">
      <w:pPr>
        <w:spacing w:line="500" w:lineRule="exact"/>
        <w:ind w:firstLine="704" w:firstLineChars="220"/>
        <w:rPr>
          <w:rFonts w:hint="eastAsia" w:ascii="仿宋_GB2312" w:hAnsi="微软雅黑" w:eastAsia="仿宋_GB2312" w:cs="微软雅黑"/>
          <w:sz w:val="32"/>
          <w:szCs w:val="32"/>
        </w:rPr>
      </w:pPr>
      <w:r>
        <w:rPr>
          <w:rFonts w:hint="eastAsia" w:ascii="仿宋_GB2312" w:hAnsi="微软雅黑" w:eastAsia="仿宋_GB2312" w:cs="微软雅黑"/>
          <w:sz w:val="32"/>
          <w:szCs w:val="32"/>
        </w:rPr>
        <w:t>6.向失信被执行人、产权不明、经营异常、存在重大债务风险或无实际</w:t>
      </w:r>
      <w:r>
        <w:rPr>
          <w:rFonts w:hint="eastAsia" w:ascii="仿宋_GB2312" w:hAnsi="微软雅黑" w:eastAsia="仿宋_GB2312" w:cs="微软雅黑"/>
          <w:sz w:val="32"/>
          <w:szCs w:val="32"/>
          <w:lang w:eastAsia="zh-CN"/>
        </w:rPr>
        <w:t>经营</w:t>
      </w:r>
      <w:r>
        <w:rPr>
          <w:rFonts w:hint="eastAsia" w:ascii="仿宋_GB2312" w:hAnsi="微软雅黑" w:eastAsia="仿宋_GB2312" w:cs="微软雅黑"/>
          <w:sz w:val="32"/>
          <w:szCs w:val="32"/>
        </w:rPr>
        <w:t>能力的合作方、标的企业合资合作的投资项目。</w:t>
      </w:r>
    </w:p>
    <w:p w14:paraId="60D29BFC">
      <w:pPr>
        <w:spacing w:line="500" w:lineRule="exact"/>
        <w:ind w:firstLine="704" w:firstLineChars="220"/>
        <w:rPr>
          <w:rFonts w:hint="eastAsia" w:ascii="仿宋_GB2312" w:hAnsi="微软雅黑" w:eastAsia="仿宋_GB2312" w:cs="微软雅黑"/>
          <w:sz w:val="32"/>
          <w:szCs w:val="32"/>
        </w:rPr>
      </w:pPr>
      <w:r>
        <w:rPr>
          <w:rFonts w:hint="eastAsia" w:ascii="仿宋_GB2312" w:hAnsi="微软雅黑" w:eastAsia="仿宋_GB2312" w:cs="微软雅黑"/>
          <w:sz w:val="32"/>
          <w:szCs w:val="32"/>
        </w:rPr>
        <w:t>7.未明确融资、投资、管理方式和相关责任人的投资项目，以及未明确退出方式的股权投资项目。</w:t>
      </w:r>
    </w:p>
    <w:p w14:paraId="0AB6FAC7">
      <w:pPr>
        <w:spacing w:line="500" w:lineRule="exact"/>
        <w:ind w:firstLine="704" w:firstLineChars="220"/>
        <w:rPr>
          <w:rFonts w:hint="eastAsia" w:ascii="仿宋_GB2312" w:hAnsi="微软雅黑" w:eastAsia="仿宋_GB2312" w:cs="微软雅黑"/>
          <w:sz w:val="32"/>
          <w:szCs w:val="32"/>
        </w:rPr>
      </w:pPr>
      <w:r>
        <w:rPr>
          <w:rFonts w:hint="eastAsia" w:ascii="仿宋_GB2312" w:hAnsi="微软雅黑" w:eastAsia="仿宋_GB2312" w:cs="微软雅黑"/>
          <w:sz w:val="32"/>
          <w:szCs w:val="32"/>
        </w:rPr>
        <w:t>8.投资规模明显超过企业实际能力的投资项目。</w:t>
      </w:r>
    </w:p>
    <w:p w14:paraId="0DCE051F">
      <w:pPr>
        <w:spacing w:line="500" w:lineRule="exact"/>
        <w:ind w:firstLine="704" w:firstLineChars="220"/>
        <w:rPr>
          <w:rFonts w:hint="eastAsia" w:ascii="仿宋_GB2312" w:hAnsi="微软雅黑" w:eastAsia="仿宋_GB2312" w:cs="微软雅黑"/>
          <w:sz w:val="32"/>
          <w:szCs w:val="32"/>
        </w:rPr>
      </w:pPr>
      <w:r>
        <w:rPr>
          <w:rFonts w:hint="eastAsia" w:ascii="仿宋_GB2312" w:hAnsi="微软雅黑" w:eastAsia="仿宋_GB2312" w:cs="微软雅黑"/>
          <w:sz w:val="32"/>
          <w:szCs w:val="32"/>
        </w:rPr>
        <w:t>9.其他法律法规、上级政策及旗政府明确禁止的投资事项。</w:t>
      </w:r>
    </w:p>
    <w:p w14:paraId="761C5633">
      <w:pPr>
        <w:spacing w:line="500" w:lineRule="exact"/>
        <w:rPr>
          <w:rFonts w:hint="eastAsia" w:ascii="仿宋_GB2312" w:hAnsi="仿宋_GB2312" w:eastAsia="仿宋_GB2312" w:cs="仿宋_GB2312"/>
          <w:sz w:val="32"/>
          <w:szCs w:val="32"/>
        </w:rPr>
      </w:pPr>
    </w:p>
    <w:p w14:paraId="3823CA14">
      <w:pPr>
        <w:spacing w:line="500" w:lineRule="exact"/>
        <w:jc w:val="center"/>
        <w:rPr>
          <w:rFonts w:hint="eastAsia" w:ascii="黑体" w:hAnsi="黑体" w:eastAsia="黑体" w:cs="黑体"/>
          <w:sz w:val="32"/>
          <w:szCs w:val="32"/>
        </w:rPr>
      </w:pPr>
      <w:r>
        <w:rPr>
          <w:rFonts w:hint="eastAsia" w:ascii="黑体" w:hAnsi="黑体" w:eastAsia="黑体" w:cs="黑体"/>
          <w:sz w:val="32"/>
          <w:szCs w:val="32"/>
        </w:rPr>
        <w:t>第三章 投资项目可行性研究论证</w:t>
      </w:r>
    </w:p>
    <w:p w14:paraId="500C3C4E">
      <w:pPr>
        <w:spacing w:line="500" w:lineRule="exact"/>
        <w:ind w:firstLine="640" w:firstLineChars="200"/>
        <w:rPr>
          <w:rFonts w:hint="eastAsia" w:ascii="仿宋_GB2312" w:hAnsi="仿宋_GB2312" w:eastAsia="仿宋_GB2312" w:cs="仿宋_GB2312"/>
          <w:sz w:val="32"/>
          <w:szCs w:val="32"/>
        </w:rPr>
      </w:pPr>
    </w:p>
    <w:p w14:paraId="00724A6A">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第十条</w:t>
      </w:r>
      <w:r>
        <w:rPr>
          <w:rFonts w:hint="eastAsia" w:ascii="仿宋_GB2312" w:hAnsi="仿宋_GB2312" w:eastAsia="仿宋_GB2312" w:cs="仿宋_GB2312"/>
          <w:sz w:val="32"/>
          <w:szCs w:val="32"/>
        </w:rPr>
        <w:t xml:space="preserve"> 企业投资决策应当经过科学的前期可行性研究论证，规范编制投资项目可行性研究报告。</w:t>
      </w:r>
    </w:p>
    <w:p w14:paraId="3B9D8253">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第十一条</w:t>
      </w:r>
      <w:r>
        <w:rPr>
          <w:rFonts w:hint="eastAsia" w:ascii="仿宋_GB2312" w:hAnsi="仿宋_GB2312" w:eastAsia="仿宋_GB2312" w:cs="仿宋_GB2312"/>
          <w:sz w:val="32"/>
          <w:szCs w:val="32"/>
        </w:rPr>
        <w:t xml:space="preserve"> 可行性研究报告应当委托具有相应资质的工程咨询单位、专业中介机构，按照国家投资主管部门制定的标准进行编制。</w:t>
      </w:r>
    </w:p>
    <w:p w14:paraId="249D7E60">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第十二条</w:t>
      </w:r>
      <w:r>
        <w:rPr>
          <w:rFonts w:hint="eastAsia" w:ascii="仿宋_GB2312" w:hAnsi="仿宋_GB2312" w:eastAsia="仿宋_GB2312" w:cs="仿宋_GB2312"/>
          <w:sz w:val="32"/>
          <w:szCs w:val="32"/>
        </w:rPr>
        <w:t xml:space="preserve"> 投资项目涉及以非货币资产出资或收购资产的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应当聘请具有相应资质的中介机构进行审计和资产评估，评估结果作为出资或收购定价的参考依据。旗直属国有企业以非货币资产出资的，其作价原则上不得低于资产评估价值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涉及收购资产或对方以非货币资产出资的，其作价原则上不得高于资产评估价值。</w:t>
      </w:r>
    </w:p>
    <w:p w14:paraId="4905EE1C">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第十三条</w:t>
      </w:r>
      <w:r>
        <w:rPr>
          <w:rFonts w:hint="eastAsia" w:ascii="仿宋_GB2312" w:hAnsi="仿宋_GB2312" w:eastAsia="仿宋_GB2312" w:cs="仿宋_GB2312"/>
          <w:sz w:val="32"/>
          <w:szCs w:val="32"/>
        </w:rPr>
        <w:t xml:space="preserve"> 投资项目涉及法律问题的，应当聘请独立的法律中介机构出具法律意见书，不得以企业内部机构或自然人法律顾问的意见代替中介机构意见。</w:t>
      </w:r>
    </w:p>
    <w:p w14:paraId="038C7BB9">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第十四条</w:t>
      </w:r>
      <w:r>
        <w:rPr>
          <w:rFonts w:hint="eastAsia" w:ascii="仿宋_GB2312" w:hAnsi="仿宋_GB2312" w:eastAsia="仿宋_GB2312" w:cs="仿宋_GB2312"/>
          <w:sz w:val="32"/>
          <w:szCs w:val="32"/>
        </w:rPr>
        <w:t xml:space="preserve"> 承担投资项目可行性研究论证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包括编制可行性研究报告、审计和资产评估等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以及法律咨询等前期工作的中介机构由企业选定。</w:t>
      </w:r>
    </w:p>
    <w:p w14:paraId="3F7309A0">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 xml:space="preserve">第十五条 </w:t>
      </w:r>
      <w:r>
        <w:rPr>
          <w:rFonts w:hint="eastAsia" w:ascii="仿宋_GB2312" w:hAnsi="仿宋_GB2312" w:eastAsia="仿宋_GB2312" w:cs="仿宋_GB2312"/>
          <w:sz w:val="32"/>
          <w:szCs w:val="32"/>
        </w:rPr>
        <w:t>可行性研究报告应当组织专家评审，专家评审未通过或存在重大争议的项目不得进入决策程序。专家评审一般由企业组织，按照以下要求进行</w:t>
      </w:r>
      <w:r>
        <w:rPr>
          <w:rFonts w:hint="eastAsia" w:ascii="仿宋_GB2312" w:hAnsi="仿宋_GB2312" w:eastAsia="仿宋_GB2312" w:cs="仿宋_GB2312"/>
          <w:sz w:val="32"/>
          <w:szCs w:val="32"/>
          <w:lang w:eastAsia="zh-CN"/>
        </w:rPr>
        <w:t>：</w:t>
      </w:r>
    </w:p>
    <w:p w14:paraId="3B45196A">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专家评审组原则上至少由5名以上奇数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含5人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的专业人员组成，其中，外部专家比例不得低于70%，并根据项目实际情况，主要</w:t>
      </w:r>
      <w:r>
        <w:rPr>
          <w:rFonts w:hint="eastAsia" w:ascii="仿宋_GB2312" w:hAnsi="仿宋_GB2312" w:eastAsia="仿宋_GB2312" w:cs="仿宋_GB2312"/>
          <w:sz w:val="32"/>
          <w:szCs w:val="32"/>
          <w:lang w:eastAsia="zh-CN"/>
        </w:rPr>
        <w:t>包括</w:t>
      </w:r>
      <w:r>
        <w:rPr>
          <w:rFonts w:hint="eastAsia" w:ascii="仿宋_GB2312" w:hAnsi="仿宋_GB2312" w:eastAsia="仿宋_GB2312" w:cs="仿宋_GB2312"/>
          <w:sz w:val="32"/>
          <w:szCs w:val="32"/>
        </w:rPr>
        <w:t>行业技术、市场分析、企业管理、经济财务、法律、资产评估、人事管理等方面的专家。</w:t>
      </w:r>
    </w:p>
    <w:p w14:paraId="64ECCCA0">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参加评审的专家应当按照诚信、客观的原则，对可行性研究论证涉及的本专业领域内容进行审核，提出书面评审意见，评审结束后由专家评审组提出综合评审意见。</w:t>
      </w:r>
    </w:p>
    <w:p w14:paraId="6B72FD26">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专家评审组以表决方式对项目进行审议，原则上三分之二以上成员同意为评审通过。对影响项目决策的技术、财务、法律、资产评估等关键性因素，相关专家提出保留意见的，应视为评审未通过。对涉及与非国有单位进行合资、合作或产股权交易的，以及投资金额</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000万元以上的投资项目，应采取公开记名投票方式进行表决，评审过程应有旗国资监管部门和其他股东代表参加。</w:t>
      </w:r>
    </w:p>
    <w:p w14:paraId="356691A4">
      <w:pPr>
        <w:spacing w:line="500" w:lineRule="exact"/>
        <w:ind w:firstLine="640" w:firstLineChars="200"/>
        <w:rPr>
          <w:rFonts w:hint="eastAsia" w:ascii="仿宋_GB2312" w:hAnsi="仿宋_GB2312" w:eastAsia="仿宋_GB2312" w:cs="仿宋_GB2312"/>
          <w:sz w:val="32"/>
          <w:szCs w:val="32"/>
        </w:rPr>
      </w:pPr>
    </w:p>
    <w:p w14:paraId="3AEE1DB7">
      <w:pPr>
        <w:spacing w:line="500" w:lineRule="exact"/>
        <w:jc w:val="center"/>
        <w:rPr>
          <w:rFonts w:hint="eastAsia" w:ascii="黑体" w:hAnsi="黑体" w:eastAsia="黑体" w:cs="黑体"/>
          <w:sz w:val="32"/>
          <w:szCs w:val="32"/>
        </w:rPr>
      </w:pPr>
      <w:r>
        <w:rPr>
          <w:rFonts w:hint="eastAsia" w:ascii="黑体" w:hAnsi="黑体" w:eastAsia="黑体" w:cs="黑体"/>
          <w:sz w:val="32"/>
          <w:szCs w:val="32"/>
        </w:rPr>
        <w:t>第四章 投资项目批准与备案</w:t>
      </w:r>
    </w:p>
    <w:p w14:paraId="5BF6C6DA">
      <w:pPr>
        <w:spacing w:line="500" w:lineRule="exact"/>
        <w:ind w:firstLine="640" w:firstLineChars="200"/>
        <w:rPr>
          <w:rFonts w:hint="eastAsia" w:ascii="仿宋_GB2312" w:hAnsi="仿宋_GB2312" w:eastAsia="仿宋_GB2312" w:cs="仿宋_GB2312"/>
          <w:sz w:val="32"/>
          <w:szCs w:val="32"/>
        </w:rPr>
      </w:pPr>
    </w:p>
    <w:p w14:paraId="25377D14">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第十六条</w:t>
      </w:r>
      <w:r>
        <w:rPr>
          <w:rFonts w:hint="eastAsia" w:ascii="仿宋_GB2312" w:hAnsi="仿宋_GB2312" w:eastAsia="仿宋_GB2312" w:cs="仿宋_GB2312"/>
          <w:sz w:val="32"/>
          <w:szCs w:val="32"/>
        </w:rPr>
        <w:t xml:space="preserve"> 企业上报批准项目时，应当报送的资料包括</w:t>
      </w:r>
      <w:r>
        <w:rPr>
          <w:rFonts w:hint="eastAsia" w:ascii="仿宋_GB2312" w:hAnsi="仿宋_GB2312" w:eastAsia="仿宋_GB2312" w:cs="仿宋_GB2312"/>
          <w:sz w:val="32"/>
          <w:szCs w:val="32"/>
          <w:lang w:eastAsia="zh-CN"/>
        </w:rPr>
        <w:t>：</w:t>
      </w:r>
    </w:p>
    <w:p w14:paraId="5CC6209C">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申请文件，并附党委会、董事会及股东会纪要等</w:t>
      </w:r>
      <w:r>
        <w:rPr>
          <w:rFonts w:hint="eastAsia" w:ascii="仿宋_GB2312" w:hAnsi="仿宋_GB2312" w:eastAsia="仿宋_GB2312" w:cs="仿宋_GB2312"/>
          <w:sz w:val="32"/>
          <w:szCs w:val="32"/>
          <w:lang w:eastAsia="zh-CN"/>
        </w:rPr>
        <w:t>；</w:t>
      </w:r>
    </w:p>
    <w:p w14:paraId="37DDF14A">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可行性研究报告，并附专家论证结论、专家名单及其签名复印件等</w:t>
      </w:r>
      <w:r>
        <w:rPr>
          <w:rFonts w:hint="eastAsia" w:ascii="仿宋_GB2312" w:hAnsi="仿宋_GB2312" w:eastAsia="仿宋_GB2312" w:cs="仿宋_GB2312"/>
          <w:sz w:val="32"/>
          <w:szCs w:val="32"/>
          <w:lang w:eastAsia="zh-CN"/>
        </w:rPr>
        <w:t>；</w:t>
      </w:r>
    </w:p>
    <w:p w14:paraId="587E7DF2">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申报企业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以独立法人企业单位)一年以内最近一期审计报告</w:t>
      </w:r>
      <w:r>
        <w:rPr>
          <w:rFonts w:hint="eastAsia" w:ascii="仿宋_GB2312" w:hAnsi="仿宋_GB2312" w:eastAsia="仿宋_GB2312" w:cs="仿宋_GB2312"/>
          <w:sz w:val="32"/>
          <w:szCs w:val="32"/>
          <w:lang w:eastAsia="zh-CN"/>
        </w:rPr>
        <w:t>；</w:t>
      </w:r>
    </w:p>
    <w:p w14:paraId="07B2937F">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涉及非货币资产投资行为的资产评估报告</w:t>
      </w:r>
      <w:r>
        <w:rPr>
          <w:rFonts w:hint="eastAsia" w:ascii="仿宋_GB2312" w:hAnsi="仿宋_GB2312" w:eastAsia="仿宋_GB2312" w:cs="仿宋_GB2312"/>
          <w:sz w:val="32"/>
          <w:szCs w:val="32"/>
          <w:lang w:eastAsia="zh-CN"/>
        </w:rPr>
        <w:t>；</w:t>
      </w:r>
    </w:p>
    <w:p w14:paraId="68D115CC">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项目涉及收购或合资方尽职调查报告、财务审计、清产核资报告等</w:t>
      </w:r>
      <w:r>
        <w:rPr>
          <w:rFonts w:hint="eastAsia" w:ascii="仿宋_GB2312" w:hAnsi="仿宋_GB2312" w:eastAsia="仿宋_GB2312" w:cs="仿宋_GB2312"/>
          <w:sz w:val="32"/>
          <w:szCs w:val="32"/>
          <w:lang w:eastAsia="zh-CN"/>
        </w:rPr>
        <w:t>；</w:t>
      </w:r>
    </w:p>
    <w:p w14:paraId="383E28D3">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项目法律意见书</w:t>
      </w:r>
      <w:r>
        <w:rPr>
          <w:rFonts w:hint="eastAsia" w:ascii="仿宋_GB2312" w:hAnsi="仿宋_GB2312" w:eastAsia="仿宋_GB2312" w:cs="仿宋_GB2312"/>
          <w:sz w:val="32"/>
          <w:szCs w:val="32"/>
          <w:lang w:eastAsia="zh-CN"/>
        </w:rPr>
        <w:t>；</w:t>
      </w:r>
    </w:p>
    <w:p w14:paraId="43B0E7D7">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有关合作意向书及其他重要法律文本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草案</w:t>
      </w:r>
      <w:r>
        <w:rPr>
          <w:rFonts w:hint="eastAsia" w:ascii="仿宋_GB2312" w:hAnsi="仿宋_GB2312" w:eastAsia="仿宋_GB2312" w:cs="仿宋_GB2312"/>
          <w:sz w:val="32"/>
          <w:szCs w:val="32"/>
          <w:lang w:eastAsia="zh-CN"/>
        </w:rPr>
        <w:t>）；</w:t>
      </w:r>
    </w:p>
    <w:p w14:paraId="74BAFDFE">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合资、合作方情况介绍、工商登记资料和资信证明</w:t>
      </w:r>
      <w:r>
        <w:rPr>
          <w:rFonts w:hint="eastAsia" w:ascii="仿宋_GB2312" w:hAnsi="仿宋_GB2312" w:eastAsia="仿宋_GB2312" w:cs="仿宋_GB2312"/>
          <w:sz w:val="32"/>
          <w:szCs w:val="32"/>
          <w:lang w:eastAsia="zh-CN"/>
        </w:rPr>
        <w:t>；</w:t>
      </w:r>
    </w:p>
    <w:p w14:paraId="44AEDFC6">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审核部门要求提供的其他资料。</w:t>
      </w:r>
    </w:p>
    <w:p w14:paraId="03CB9B5B">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第十七条</w:t>
      </w:r>
      <w:r>
        <w:rPr>
          <w:rFonts w:hint="eastAsia" w:ascii="仿宋_GB2312" w:hAnsi="仿宋_GB2312" w:eastAsia="仿宋_GB2312" w:cs="仿宋_GB2312"/>
          <w:sz w:val="32"/>
          <w:szCs w:val="32"/>
        </w:rPr>
        <w:t xml:space="preserve"> 对符合以下条件的投资项目予以批准</w:t>
      </w:r>
      <w:r>
        <w:rPr>
          <w:rFonts w:hint="eastAsia" w:ascii="仿宋_GB2312" w:hAnsi="仿宋_GB2312" w:eastAsia="仿宋_GB2312" w:cs="仿宋_GB2312"/>
          <w:sz w:val="32"/>
          <w:szCs w:val="32"/>
          <w:lang w:eastAsia="zh-CN"/>
        </w:rPr>
        <w:t>：</w:t>
      </w:r>
    </w:p>
    <w:p w14:paraId="35139F2B">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投资范围符合本办法第五条、第九条规定</w:t>
      </w:r>
      <w:r>
        <w:rPr>
          <w:rFonts w:hint="eastAsia" w:ascii="仿宋_GB2312" w:hAnsi="仿宋_GB2312" w:eastAsia="仿宋_GB2312" w:cs="仿宋_GB2312"/>
          <w:sz w:val="32"/>
          <w:szCs w:val="32"/>
          <w:lang w:eastAsia="zh-CN"/>
        </w:rPr>
        <w:t>；</w:t>
      </w:r>
    </w:p>
    <w:p w14:paraId="4CCDF56F">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可行性研究论证工作全面、客观、充分、规范，符合本办法的有关要求</w:t>
      </w:r>
      <w:r>
        <w:rPr>
          <w:rFonts w:hint="eastAsia" w:ascii="仿宋_GB2312" w:hAnsi="仿宋_GB2312" w:eastAsia="仿宋_GB2312" w:cs="仿宋_GB2312"/>
          <w:sz w:val="32"/>
          <w:szCs w:val="32"/>
          <w:lang w:eastAsia="zh-CN"/>
        </w:rPr>
        <w:t>；</w:t>
      </w:r>
    </w:p>
    <w:p w14:paraId="144D81BD">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投资回报率虽低于同期市场平均水平，但根据社会经济发展、国有经济布局调整和企业改革与发展的需要，确有必要实施的。</w:t>
      </w:r>
    </w:p>
    <w:p w14:paraId="7C76DE0A">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第十八条</w:t>
      </w:r>
      <w:r>
        <w:rPr>
          <w:rFonts w:hint="eastAsia" w:ascii="仿宋_GB2312" w:hAnsi="仿宋_GB2312" w:eastAsia="仿宋_GB2312" w:cs="仿宋_GB2312"/>
          <w:sz w:val="32"/>
          <w:szCs w:val="32"/>
        </w:rPr>
        <w:t xml:space="preserve"> 企业上报备案项目，应当报送的资料包括</w:t>
      </w:r>
      <w:r>
        <w:rPr>
          <w:rFonts w:hint="eastAsia" w:ascii="仿宋_GB2312" w:hAnsi="仿宋_GB2312" w:eastAsia="仿宋_GB2312" w:cs="仿宋_GB2312"/>
          <w:sz w:val="32"/>
          <w:szCs w:val="32"/>
          <w:lang w:eastAsia="zh-CN"/>
        </w:rPr>
        <w:t>：</w:t>
      </w:r>
    </w:p>
    <w:p w14:paraId="7731102E">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备案报告，并附党委会、董事会及股东会纪要及相关决策文件</w:t>
      </w:r>
      <w:r>
        <w:rPr>
          <w:rFonts w:hint="eastAsia" w:ascii="仿宋_GB2312" w:hAnsi="仿宋_GB2312" w:eastAsia="仿宋_GB2312" w:cs="仿宋_GB2312"/>
          <w:sz w:val="32"/>
          <w:szCs w:val="32"/>
          <w:lang w:eastAsia="zh-CN"/>
        </w:rPr>
        <w:t>；</w:t>
      </w:r>
    </w:p>
    <w:p w14:paraId="304699F1">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可行性研究报告及专家评审意见</w:t>
      </w:r>
      <w:r>
        <w:rPr>
          <w:rFonts w:hint="eastAsia" w:ascii="仿宋_GB2312" w:hAnsi="仿宋_GB2312" w:eastAsia="仿宋_GB2312" w:cs="仿宋_GB2312"/>
          <w:sz w:val="32"/>
          <w:szCs w:val="32"/>
          <w:lang w:eastAsia="zh-CN"/>
        </w:rPr>
        <w:t>；</w:t>
      </w:r>
    </w:p>
    <w:p w14:paraId="1F8C7550">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申报企业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以独立法人企业为单位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一年内最近一期审计报告</w:t>
      </w:r>
      <w:r>
        <w:rPr>
          <w:rFonts w:hint="eastAsia" w:ascii="仿宋_GB2312" w:hAnsi="仿宋_GB2312" w:eastAsia="仿宋_GB2312" w:cs="仿宋_GB2312"/>
          <w:sz w:val="32"/>
          <w:szCs w:val="32"/>
          <w:lang w:eastAsia="zh-CN"/>
        </w:rPr>
        <w:t>；</w:t>
      </w:r>
    </w:p>
    <w:p w14:paraId="6A7D51D4">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涉及非货币资产投资行为的资产评估报告</w:t>
      </w:r>
      <w:r>
        <w:rPr>
          <w:rFonts w:hint="eastAsia" w:ascii="仿宋_GB2312" w:hAnsi="仿宋_GB2312" w:eastAsia="仿宋_GB2312" w:cs="仿宋_GB2312"/>
          <w:sz w:val="32"/>
          <w:szCs w:val="32"/>
          <w:lang w:eastAsia="zh-CN"/>
        </w:rPr>
        <w:t>；</w:t>
      </w:r>
    </w:p>
    <w:p w14:paraId="64B93510">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项目涉及收购或合资方尽职调查报告、财务审计、清产核资报告等</w:t>
      </w:r>
      <w:r>
        <w:rPr>
          <w:rFonts w:hint="eastAsia" w:ascii="仿宋_GB2312" w:hAnsi="仿宋_GB2312" w:eastAsia="仿宋_GB2312" w:cs="仿宋_GB2312"/>
          <w:sz w:val="32"/>
          <w:szCs w:val="32"/>
          <w:lang w:eastAsia="zh-CN"/>
        </w:rPr>
        <w:t>；</w:t>
      </w:r>
    </w:p>
    <w:p w14:paraId="30359B1A">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项目法律意见书</w:t>
      </w:r>
      <w:r>
        <w:rPr>
          <w:rFonts w:hint="eastAsia" w:ascii="仿宋_GB2312" w:hAnsi="仿宋_GB2312" w:eastAsia="仿宋_GB2312" w:cs="仿宋_GB2312"/>
          <w:sz w:val="32"/>
          <w:szCs w:val="32"/>
          <w:lang w:eastAsia="zh-CN"/>
        </w:rPr>
        <w:t>；</w:t>
      </w:r>
    </w:p>
    <w:p w14:paraId="138C0AB1">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旗国资监管部门要求提供的其他资料。</w:t>
      </w:r>
    </w:p>
    <w:p w14:paraId="7E82DE65">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第十九条</w:t>
      </w:r>
      <w:r>
        <w:rPr>
          <w:rFonts w:hint="eastAsia" w:ascii="仿宋_GB2312" w:hAnsi="仿宋_GB2312" w:eastAsia="仿宋_GB2312" w:cs="仿宋_GB2312"/>
          <w:sz w:val="32"/>
          <w:szCs w:val="32"/>
        </w:rPr>
        <w:t xml:space="preserve"> 企业应当在决策之日起10个工作日内</w:t>
      </w:r>
      <w:r>
        <w:rPr>
          <w:rFonts w:hint="eastAsia" w:ascii="仿宋_GB2312" w:hAnsi="仿宋_GB2312" w:eastAsia="仿宋_GB2312" w:cs="仿宋_GB2312"/>
          <w:sz w:val="32"/>
          <w:szCs w:val="32"/>
          <w:lang w:eastAsia="zh-CN"/>
        </w:rPr>
        <w:t>报</w:t>
      </w:r>
      <w:r>
        <w:rPr>
          <w:rFonts w:hint="eastAsia" w:ascii="仿宋_GB2312" w:hAnsi="仿宋_GB2312" w:eastAsia="仿宋_GB2312" w:cs="仿宋_GB2312"/>
          <w:sz w:val="32"/>
          <w:szCs w:val="32"/>
        </w:rPr>
        <w:t>旗</w:t>
      </w:r>
      <w:bookmarkStart w:id="2" w:name="_Hlk226049714"/>
      <w:r>
        <w:rPr>
          <w:rFonts w:hint="eastAsia" w:ascii="仿宋_GB2312" w:hAnsi="仿宋_GB2312" w:eastAsia="仿宋_GB2312" w:cs="仿宋_GB2312"/>
          <w:sz w:val="32"/>
          <w:szCs w:val="32"/>
        </w:rPr>
        <w:t>国资监管部门</w:t>
      </w:r>
      <w:bookmarkEnd w:id="2"/>
      <w:r>
        <w:rPr>
          <w:rFonts w:hint="eastAsia" w:ascii="仿宋_GB2312" w:hAnsi="仿宋_GB2312" w:eastAsia="仿宋_GB2312" w:cs="仿宋_GB2312"/>
          <w:sz w:val="32"/>
          <w:szCs w:val="32"/>
        </w:rPr>
        <w:t>备案。</w:t>
      </w:r>
    </w:p>
    <w:p w14:paraId="7D9ACE6F">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旗政府批准的投资项目和行业管理部门要求的技术改造项目应自完成首次投资之日起10个工作日内报旗国资监管部门备案。</w:t>
      </w:r>
    </w:p>
    <w:p w14:paraId="36EE815E">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旗国资监管部门对企业备案资料进行登记，并对项目可行性研究论证和决策程序的合规性进行审查，发现重大问题的，有权要求企业予以纠正。</w:t>
      </w:r>
    </w:p>
    <w:p w14:paraId="76E5D587">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第二十条</w:t>
      </w:r>
      <w:r>
        <w:rPr>
          <w:rFonts w:hint="eastAsia" w:ascii="仿宋_GB2312" w:hAnsi="仿宋_GB2312" w:eastAsia="仿宋_GB2312" w:cs="仿宋_GB2312"/>
          <w:sz w:val="32"/>
          <w:szCs w:val="32"/>
        </w:rPr>
        <w:t xml:space="preserve"> 对两家以上旗直属国有企业联合投资的项目，企业应当联合上报</w:t>
      </w:r>
      <w:r>
        <w:rPr>
          <w:rFonts w:hint="eastAsia" w:ascii="仿宋_GB2312" w:hAnsi="仿宋_GB2312" w:eastAsia="仿宋_GB2312" w:cs="仿宋_GB2312"/>
          <w:sz w:val="32"/>
          <w:szCs w:val="32"/>
          <w:lang w:eastAsia="zh-CN"/>
        </w:rPr>
        <w:t>。</w:t>
      </w:r>
    </w:p>
    <w:p w14:paraId="6A3D88D6">
      <w:pPr>
        <w:spacing w:line="500" w:lineRule="exact"/>
        <w:ind w:firstLine="640" w:firstLineChars="200"/>
        <w:rPr>
          <w:rFonts w:hint="eastAsia" w:ascii="仿宋_GB2312" w:hAnsi="仿宋_GB2312" w:eastAsia="仿宋_GB2312" w:cs="仿宋_GB2312"/>
          <w:sz w:val="32"/>
          <w:szCs w:val="32"/>
        </w:rPr>
      </w:pPr>
    </w:p>
    <w:p w14:paraId="55B7700E">
      <w:pPr>
        <w:spacing w:line="500" w:lineRule="exact"/>
        <w:jc w:val="center"/>
        <w:rPr>
          <w:rFonts w:hint="eastAsia" w:ascii="黑体" w:hAnsi="黑体" w:eastAsia="黑体" w:cs="黑体"/>
          <w:sz w:val="32"/>
          <w:szCs w:val="32"/>
        </w:rPr>
      </w:pPr>
      <w:r>
        <w:rPr>
          <w:rFonts w:hint="eastAsia" w:ascii="黑体" w:hAnsi="黑体" w:eastAsia="黑体" w:cs="黑体"/>
          <w:sz w:val="32"/>
          <w:szCs w:val="32"/>
        </w:rPr>
        <w:t>第五章 投资项目实施过程的监控管理</w:t>
      </w:r>
    </w:p>
    <w:p w14:paraId="79529BA7">
      <w:pPr>
        <w:spacing w:line="500" w:lineRule="exact"/>
        <w:ind w:firstLine="640" w:firstLineChars="200"/>
        <w:rPr>
          <w:rFonts w:hint="eastAsia" w:ascii="仿宋_GB2312" w:hAnsi="仿宋_GB2312" w:eastAsia="仿宋_GB2312" w:cs="仿宋_GB2312"/>
          <w:sz w:val="32"/>
          <w:szCs w:val="32"/>
        </w:rPr>
      </w:pPr>
    </w:p>
    <w:p w14:paraId="712A5C50">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第二十一条</w:t>
      </w:r>
      <w:r>
        <w:rPr>
          <w:rFonts w:hint="eastAsia" w:ascii="仿宋_GB2312" w:hAnsi="仿宋_GB2312" w:eastAsia="仿宋_GB2312" w:cs="仿宋_GB2312"/>
          <w:sz w:val="32"/>
          <w:szCs w:val="32"/>
        </w:rPr>
        <w:t xml:space="preserve"> 企业应在年初2月底之前向旗国资监管部门报送年度投资计划。在次年1月底之前报送年度投资工作总结。</w:t>
      </w:r>
    </w:p>
    <w:p w14:paraId="012452A4">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 xml:space="preserve">第二十二条 </w:t>
      </w:r>
      <w:r>
        <w:rPr>
          <w:rFonts w:hint="eastAsia" w:ascii="仿宋_GB2312" w:hAnsi="仿宋_GB2312" w:eastAsia="仿宋_GB2312" w:cs="仿宋_GB2312"/>
          <w:sz w:val="32"/>
          <w:szCs w:val="32"/>
        </w:rPr>
        <w:t>在项目投资实施过程中，企业应当确定项目责任人，负责项目实施的全过程管理。在项目实施完毕前，项目责任人原则上不得更换。</w:t>
      </w:r>
    </w:p>
    <w:p w14:paraId="69830E81">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第二十三条</w:t>
      </w:r>
      <w:r>
        <w:rPr>
          <w:rFonts w:hint="eastAsia" w:ascii="仿宋_GB2312" w:hAnsi="仿宋_GB2312" w:eastAsia="仿宋_GB2312" w:cs="仿宋_GB2312"/>
          <w:sz w:val="32"/>
          <w:szCs w:val="32"/>
        </w:rPr>
        <w:t xml:space="preserve"> 企业进行年度审计时，应在审计报告中对投资项目财务支出情况进行专项披露和评价。在投资项目出现可能危及国有资产安全的重大事项或其他必要情况下，企业应当及时向旗</w:t>
      </w:r>
      <w:bookmarkStart w:id="3" w:name="OLE_LINK1"/>
      <w:r>
        <w:rPr>
          <w:rFonts w:hint="eastAsia" w:ascii="仿宋_GB2312" w:hAnsi="仿宋_GB2312" w:eastAsia="仿宋_GB2312" w:cs="仿宋_GB2312"/>
          <w:sz w:val="32"/>
          <w:szCs w:val="32"/>
        </w:rPr>
        <w:t>国资监管部门</w:t>
      </w:r>
      <w:bookmarkEnd w:id="3"/>
      <w:r>
        <w:rPr>
          <w:rFonts w:hint="eastAsia" w:ascii="仿宋_GB2312" w:hAnsi="仿宋_GB2312" w:eastAsia="仿宋_GB2312" w:cs="仿宋_GB2312"/>
          <w:sz w:val="32"/>
          <w:szCs w:val="32"/>
        </w:rPr>
        <w:t>报告，旗国资监管部门可聘请中介机构对项目进行专项审计。</w:t>
      </w:r>
    </w:p>
    <w:p w14:paraId="63D05C27">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 xml:space="preserve">第二十四条 </w:t>
      </w:r>
      <w:r>
        <w:rPr>
          <w:rFonts w:hint="eastAsia" w:ascii="仿宋_GB2312" w:hAnsi="仿宋_GB2312" w:eastAsia="仿宋_GB2312" w:cs="仿宋_GB2312"/>
          <w:sz w:val="32"/>
          <w:szCs w:val="32"/>
        </w:rPr>
        <w:t>投资项目在实施过程中出现以下情况的重大变化，应重新按本办法进行批准或备案。</w:t>
      </w:r>
    </w:p>
    <w:p w14:paraId="4B6C420C">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初步设计概算超过可研估算20%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以上或投资额超过原概算20%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以上</w:t>
      </w:r>
      <w:r>
        <w:rPr>
          <w:rFonts w:hint="eastAsia" w:ascii="仿宋_GB2312" w:hAnsi="仿宋_GB2312" w:eastAsia="仿宋_GB2312" w:cs="仿宋_GB2312"/>
          <w:sz w:val="32"/>
          <w:szCs w:val="32"/>
          <w:lang w:eastAsia="zh-CN"/>
        </w:rPr>
        <w:t>；</w:t>
      </w:r>
    </w:p>
    <w:p w14:paraId="132EA632">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比原计划滞后两年以上实施的</w:t>
      </w:r>
      <w:r>
        <w:rPr>
          <w:rFonts w:hint="eastAsia" w:ascii="仿宋_GB2312" w:hAnsi="仿宋_GB2312" w:eastAsia="仿宋_GB2312" w:cs="仿宋_GB2312"/>
          <w:sz w:val="32"/>
          <w:szCs w:val="32"/>
          <w:lang w:eastAsia="zh-CN"/>
        </w:rPr>
        <w:t>；</w:t>
      </w:r>
    </w:p>
    <w:p w14:paraId="44CEDEA3">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投资对象股权结构发生重大变化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导致企业控制权转移</w:t>
      </w:r>
      <w:r>
        <w:rPr>
          <w:rFonts w:hint="eastAsia" w:ascii="仿宋_GB2312" w:hAnsi="仿宋_GB2312" w:eastAsia="仿宋_GB2312" w:cs="仿宋_GB2312"/>
          <w:sz w:val="32"/>
          <w:szCs w:val="32"/>
          <w:lang w:eastAsia="zh-CN"/>
        </w:rPr>
        <w:t>；</w:t>
      </w:r>
    </w:p>
    <w:p w14:paraId="7FAA8BD9">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投资项目合作方严重违约，损害出资人利益</w:t>
      </w:r>
      <w:r>
        <w:rPr>
          <w:rFonts w:hint="eastAsia" w:ascii="仿宋_GB2312" w:hAnsi="仿宋_GB2312" w:eastAsia="仿宋_GB2312" w:cs="仿宋_GB2312"/>
          <w:sz w:val="32"/>
          <w:szCs w:val="32"/>
          <w:lang w:eastAsia="zh-CN"/>
        </w:rPr>
        <w:t>；</w:t>
      </w:r>
    </w:p>
    <w:p w14:paraId="4CC4132B">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因不可控因素造成投资风险剧增或存在较大潜在损失等重大变化。</w:t>
      </w:r>
    </w:p>
    <w:p w14:paraId="192044E5">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 xml:space="preserve">第二十五条 </w:t>
      </w:r>
      <w:r>
        <w:rPr>
          <w:rFonts w:hint="eastAsia" w:ascii="仿宋_GB2312" w:hAnsi="仿宋_GB2312" w:eastAsia="仿宋_GB2312" w:cs="仿宋_GB2312"/>
          <w:sz w:val="32"/>
          <w:szCs w:val="32"/>
        </w:rPr>
        <w:t>企业对完成投资并经过一个完整会计年度</w:t>
      </w:r>
      <w:r>
        <w:rPr>
          <w:rFonts w:hint="eastAsia" w:ascii="仿宋_GB2312" w:hAnsi="仿宋_GB2312" w:eastAsia="仿宋_GB2312" w:cs="仿宋_GB2312"/>
          <w:sz w:val="32"/>
          <w:szCs w:val="32"/>
          <w:lang w:eastAsia="zh-CN"/>
        </w:rPr>
        <w:t>运营</w:t>
      </w:r>
      <w:r>
        <w:rPr>
          <w:rFonts w:hint="eastAsia" w:ascii="仿宋_GB2312" w:hAnsi="仿宋_GB2312" w:eastAsia="仿宋_GB2312" w:cs="仿宋_GB2312"/>
          <w:sz w:val="32"/>
          <w:szCs w:val="32"/>
        </w:rPr>
        <w:t>的项目，以及建设工期延长一年以上的在建项目，应当组织后评价工作。对分阶段实施、时间跨度较长的项目，可按阶段进行后评价。</w:t>
      </w:r>
    </w:p>
    <w:p w14:paraId="05FFCABB">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项目后评价情况应当报旗国资监管部门备案。</w:t>
      </w:r>
    </w:p>
    <w:p w14:paraId="41110AA0">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 xml:space="preserve">第二十六条 </w:t>
      </w:r>
      <w:r>
        <w:rPr>
          <w:rFonts w:hint="eastAsia" w:ascii="仿宋_GB2312" w:hAnsi="仿宋_GB2312" w:eastAsia="仿宋_GB2312" w:cs="仿宋_GB2312"/>
          <w:sz w:val="32"/>
          <w:szCs w:val="32"/>
        </w:rPr>
        <w:t>投资项目后评价的主要内容包括</w:t>
      </w:r>
      <w:r>
        <w:rPr>
          <w:rFonts w:hint="eastAsia" w:ascii="仿宋_GB2312" w:hAnsi="仿宋_GB2312" w:eastAsia="仿宋_GB2312" w:cs="仿宋_GB2312"/>
          <w:sz w:val="32"/>
          <w:szCs w:val="32"/>
          <w:lang w:eastAsia="zh-CN"/>
        </w:rPr>
        <w:t>：</w:t>
      </w:r>
    </w:p>
    <w:p w14:paraId="45D179C9">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对项目可行性研究论证、决策、实施和运营情况进行全面回顾</w:t>
      </w:r>
      <w:r>
        <w:rPr>
          <w:rFonts w:hint="eastAsia" w:ascii="仿宋_GB2312" w:hAnsi="仿宋_GB2312" w:eastAsia="仿宋_GB2312" w:cs="仿宋_GB2312"/>
          <w:sz w:val="32"/>
          <w:szCs w:val="32"/>
          <w:lang w:eastAsia="zh-CN"/>
        </w:rPr>
        <w:t>；</w:t>
      </w:r>
    </w:p>
    <w:p w14:paraId="1039EFCF">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对项目财务和经济效益、技术和能力、项目管理等方面进行分析</w:t>
      </w:r>
      <w:r>
        <w:rPr>
          <w:rFonts w:hint="eastAsia" w:ascii="仿宋_GB2312" w:hAnsi="仿宋_GB2312" w:eastAsia="仿宋_GB2312" w:cs="仿宋_GB2312"/>
          <w:sz w:val="32"/>
          <w:szCs w:val="32"/>
          <w:lang w:eastAsia="zh-CN"/>
        </w:rPr>
        <w:t>；</w:t>
      </w:r>
    </w:p>
    <w:p w14:paraId="19B19F3C">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对项目存在问题提出改进意见和责任追究建议。</w:t>
      </w:r>
    </w:p>
    <w:p w14:paraId="4E367BC4">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第二十七条</w:t>
      </w:r>
      <w:r>
        <w:rPr>
          <w:rFonts w:hint="eastAsia" w:ascii="仿宋_GB2312" w:hAnsi="仿宋_GB2312" w:eastAsia="仿宋_GB2312" w:cs="仿宋_GB2312"/>
          <w:sz w:val="32"/>
          <w:szCs w:val="32"/>
        </w:rPr>
        <w:t xml:space="preserve"> 旗国资监管部门可以根据需要，对企业已完成的投资项目，有选择地开展项目稽查、审计和后评价。</w:t>
      </w:r>
    </w:p>
    <w:p w14:paraId="1B36E62C">
      <w:pPr>
        <w:spacing w:line="500" w:lineRule="exact"/>
        <w:ind w:firstLine="640" w:firstLineChars="200"/>
        <w:rPr>
          <w:rFonts w:hint="eastAsia" w:ascii="仿宋_GB2312" w:hAnsi="仿宋_GB2312" w:eastAsia="仿宋_GB2312" w:cs="仿宋_GB2312"/>
          <w:sz w:val="32"/>
          <w:szCs w:val="32"/>
        </w:rPr>
      </w:pPr>
    </w:p>
    <w:p w14:paraId="2428E2E7">
      <w:pPr>
        <w:spacing w:line="500" w:lineRule="exact"/>
        <w:jc w:val="center"/>
        <w:rPr>
          <w:rFonts w:hint="eastAsia" w:ascii="黑体" w:hAnsi="黑体" w:eastAsia="黑体" w:cs="黑体"/>
          <w:sz w:val="32"/>
          <w:szCs w:val="32"/>
        </w:rPr>
      </w:pPr>
      <w:r>
        <w:rPr>
          <w:rFonts w:hint="eastAsia" w:ascii="黑体" w:hAnsi="黑体" w:eastAsia="黑体" w:cs="黑体"/>
          <w:sz w:val="32"/>
          <w:szCs w:val="32"/>
        </w:rPr>
        <w:t>第六章 责任追究</w:t>
      </w:r>
    </w:p>
    <w:p w14:paraId="4F95853E">
      <w:pPr>
        <w:spacing w:line="500" w:lineRule="exact"/>
        <w:ind w:firstLine="640" w:firstLineChars="200"/>
        <w:rPr>
          <w:rFonts w:hint="eastAsia" w:ascii="仿宋_GB2312" w:hAnsi="仿宋_GB2312" w:eastAsia="仿宋_GB2312" w:cs="仿宋_GB2312"/>
          <w:sz w:val="32"/>
          <w:szCs w:val="32"/>
        </w:rPr>
      </w:pPr>
    </w:p>
    <w:p w14:paraId="362586BF">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第二十八条</w:t>
      </w:r>
      <w:r>
        <w:rPr>
          <w:rFonts w:hint="eastAsia" w:ascii="仿宋_GB2312" w:hAnsi="仿宋_GB2312" w:eastAsia="仿宋_GB2312" w:cs="仿宋_GB2312"/>
          <w:sz w:val="32"/>
          <w:szCs w:val="32"/>
        </w:rPr>
        <w:t xml:space="preserve"> 违反本办法规定，有下列行为之一的，企业法定代表人应承担主要责任，其他国有产权代表和高级管理人员承担相应责任，视情节轻重分别给予扣减年薪、通报批评等处理措施，或通过法定程序降职、免职或解聘，涉嫌违法犯罪的依法追究刑事责任</w:t>
      </w:r>
      <w:r>
        <w:rPr>
          <w:rFonts w:hint="eastAsia" w:ascii="仿宋_GB2312" w:hAnsi="仿宋_GB2312" w:eastAsia="仿宋_GB2312" w:cs="仿宋_GB2312"/>
          <w:sz w:val="32"/>
          <w:szCs w:val="32"/>
          <w:lang w:eastAsia="zh-CN"/>
        </w:rPr>
        <w:t>：</w:t>
      </w:r>
    </w:p>
    <w:p w14:paraId="58AF2474">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未经核准或备案，企业越权擅自进行实际投资，或签订具有法律约束力的相关合同或协议的</w:t>
      </w:r>
      <w:r>
        <w:rPr>
          <w:rFonts w:hint="eastAsia" w:ascii="仿宋_GB2312" w:hAnsi="仿宋_GB2312" w:eastAsia="仿宋_GB2312" w:cs="仿宋_GB2312"/>
          <w:sz w:val="32"/>
          <w:szCs w:val="32"/>
          <w:lang w:eastAsia="zh-CN"/>
        </w:rPr>
        <w:t>；</w:t>
      </w:r>
    </w:p>
    <w:p w14:paraId="52165287">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上报核准、审批或备案时谎报、故意隐瞒重要情况的</w:t>
      </w:r>
      <w:r>
        <w:rPr>
          <w:rFonts w:hint="eastAsia" w:ascii="仿宋_GB2312" w:hAnsi="仿宋_GB2312" w:eastAsia="仿宋_GB2312" w:cs="仿宋_GB2312"/>
          <w:sz w:val="32"/>
          <w:szCs w:val="32"/>
          <w:lang w:eastAsia="zh-CN"/>
        </w:rPr>
        <w:t>；</w:t>
      </w:r>
    </w:p>
    <w:p w14:paraId="3D68DD75">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未履行企业内部决策程序的</w:t>
      </w:r>
      <w:r>
        <w:rPr>
          <w:rFonts w:hint="eastAsia" w:ascii="仿宋_GB2312" w:hAnsi="仿宋_GB2312" w:eastAsia="仿宋_GB2312" w:cs="仿宋_GB2312"/>
          <w:sz w:val="32"/>
          <w:szCs w:val="32"/>
          <w:lang w:eastAsia="zh-CN"/>
        </w:rPr>
        <w:t>；</w:t>
      </w:r>
    </w:p>
    <w:p w14:paraId="7B04B83A">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通过分拆项目等方式故意逃避管理的</w:t>
      </w:r>
      <w:r>
        <w:rPr>
          <w:rFonts w:hint="eastAsia" w:ascii="仿宋_GB2312" w:hAnsi="仿宋_GB2312" w:eastAsia="仿宋_GB2312" w:cs="仿宋_GB2312"/>
          <w:sz w:val="32"/>
          <w:szCs w:val="32"/>
          <w:lang w:eastAsia="zh-CN"/>
        </w:rPr>
        <w:t>；</w:t>
      </w:r>
    </w:p>
    <w:p w14:paraId="7F1C8A65">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干预中介机构和专家独立执业和发表意见的</w:t>
      </w:r>
      <w:r>
        <w:rPr>
          <w:rFonts w:hint="eastAsia" w:ascii="仿宋_GB2312" w:hAnsi="仿宋_GB2312" w:eastAsia="仿宋_GB2312" w:cs="仿宋_GB2312"/>
          <w:sz w:val="32"/>
          <w:szCs w:val="32"/>
          <w:lang w:eastAsia="zh-CN"/>
        </w:rPr>
        <w:t>；</w:t>
      </w:r>
    </w:p>
    <w:p w14:paraId="04F63251">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对应备案事项未及时备案的</w:t>
      </w:r>
      <w:r>
        <w:rPr>
          <w:rFonts w:hint="eastAsia" w:ascii="仿宋_GB2312" w:hAnsi="仿宋_GB2312" w:eastAsia="仿宋_GB2312" w:cs="仿宋_GB2312"/>
          <w:sz w:val="32"/>
          <w:szCs w:val="32"/>
          <w:lang w:eastAsia="zh-CN"/>
        </w:rPr>
        <w:t>；</w:t>
      </w:r>
    </w:p>
    <w:p w14:paraId="73F4F702">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对可能危及国有资产安全的重大事项未及时报告的</w:t>
      </w:r>
      <w:r>
        <w:rPr>
          <w:rFonts w:hint="eastAsia" w:ascii="仿宋_GB2312" w:hAnsi="仿宋_GB2312" w:eastAsia="仿宋_GB2312" w:cs="仿宋_GB2312"/>
          <w:sz w:val="32"/>
          <w:szCs w:val="32"/>
          <w:lang w:eastAsia="zh-CN"/>
        </w:rPr>
        <w:t>；</w:t>
      </w:r>
    </w:p>
    <w:p w14:paraId="17B500AA">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有损害国有出资人权益的其他行为的。</w:t>
      </w:r>
    </w:p>
    <w:p w14:paraId="15E733D5">
      <w:pPr>
        <w:spacing w:line="500" w:lineRule="exact"/>
        <w:ind w:firstLine="640" w:firstLineChars="200"/>
        <w:rPr>
          <w:rFonts w:hint="eastAsia" w:ascii="仿宋_GB2312" w:hAnsi="仿宋_GB2312" w:eastAsia="仿宋_GB2312" w:cs="仿宋_GB2312"/>
          <w:sz w:val="32"/>
          <w:szCs w:val="32"/>
        </w:rPr>
      </w:pPr>
    </w:p>
    <w:p w14:paraId="61BC1D16">
      <w:pPr>
        <w:spacing w:line="500" w:lineRule="exact"/>
        <w:jc w:val="center"/>
        <w:rPr>
          <w:rFonts w:hint="eastAsia" w:ascii="仿宋_GB2312" w:hAnsi="仿宋_GB2312" w:eastAsia="仿宋_GB2312" w:cs="仿宋_GB2312"/>
          <w:sz w:val="32"/>
          <w:szCs w:val="32"/>
        </w:rPr>
      </w:pPr>
      <w:r>
        <w:rPr>
          <w:rFonts w:hint="eastAsia" w:ascii="黑体" w:hAnsi="黑体" w:eastAsia="黑体" w:cs="黑体"/>
          <w:sz w:val="32"/>
          <w:szCs w:val="32"/>
        </w:rPr>
        <w:t>第七章</w:t>
      </w:r>
      <w:r>
        <w:rPr>
          <w:rFonts w:hint="eastAsia" w:ascii="黑体" w:hAnsi="黑体" w:eastAsia="黑体" w:cs="黑体"/>
          <w:sz w:val="32"/>
          <w:szCs w:val="32"/>
        </w:rPr>
        <w:tab/>
      </w:r>
      <w:r>
        <w:rPr>
          <w:rFonts w:hint="eastAsia" w:ascii="黑体" w:hAnsi="黑体" w:eastAsia="黑体" w:cs="黑体"/>
          <w:sz w:val="32"/>
          <w:szCs w:val="32"/>
        </w:rPr>
        <w:t>附 则</w:t>
      </w:r>
    </w:p>
    <w:p w14:paraId="08B4C35E">
      <w:pPr>
        <w:spacing w:line="500" w:lineRule="exact"/>
        <w:ind w:firstLine="640" w:firstLineChars="200"/>
        <w:rPr>
          <w:rFonts w:hint="eastAsia" w:ascii="仿宋_GB2312" w:hAnsi="仿宋_GB2312" w:eastAsia="仿宋_GB2312" w:cs="仿宋_GB2312"/>
          <w:sz w:val="32"/>
          <w:szCs w:val="32"/>
        </w:rPr>
      </w:pPr>
    </w:p>
    <w:p w14:paraId="19B78F9E">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第二十九条</w:t>
      </w:r>
      <w:r>
        <w:rPr>
          <w:rFonts w:hint="eastAsia" w:ascii="仿宋_GB2312" w:hAnsi="仿宋_GB2312" w:eastAsia="仿宋_GB2312" w:cs="仿宋_GB2312"/>
          <w:sz w:val="32"/>
          <w:szCs w:val="32"/>
        </w:rPr>
        <w:t xml:space="preserve"> 旗直属企业要参照本办法，结合自身实际情况，制定本企业投资管理实施细则，并报旗国资监管部门备案。</w:t>
      </w:r>
    </w:p>
    <w:p w14:paraId="320D6928">
      <w:pPr>
        <w:spacing w:line="50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第三十条</w:t>
      </w:r>
      <w:r>
        <w:rPr>
          <w:rFonts w:hint="eastAsia" w:ascii="仿宋_GB2312" w:hAnsi="仿宋_GB2312" w:eastAsia="仿宋_GB2312" w:cs="仿宋_GB2312"/>
          <w:sz w:val="32"/>
          <w:szCs w:val="32"/>
        </w:rPr>
        <w:t xml:space="preserve"> 本办法自发布之日起施行。</w:t>
      </w:r>
    </w:p>
    <w:p w14:paraId="4787E551">
      <w:pPr>
        <w:spacing w:line="500" w:lineRule="exact"/>
        <w:rPr>
          <w:rFonts w:hint="eastAsia" w:ascii="楷体_GB2312" w:hAnsi="楷体_GB2312" w:eastAsia="楷体_GB2312" w:cs="楷体_GB2312"/>
          <w:b/>
          <w:bCs/>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6125157"/>
      <w:docPartObj>
        <w:docPartGallery w:val="AutoText"/>
      </w:docPartObj>
    </w:sdtPr>
    <w:sdtContent>
      <w:p w14:paraId="3964A523">
        <w:pPr>
          <w:pStyle w:val="6"/>
          <w:jc w:val="center"/>
        </w:pPr>
        <w:r>
          <w:fldChar w:fldCharType="begin"/>
        </w:r>
        <w:r>
          <w:instrText xml:space="preserve">PAGE   \* MERGEFORMAT</w:instrText>
        </w:r>
        <w:r>
          <w:fldChar w:fldCharType="separate"/>
        </w:r>
        <w:r>
          <w:rPr>
            <w:lang w:val="zh-CN"/>
          </w:rPr>
          <w:t>1</w:t>
        </w:r>
        <w:r>
          <w:fldChar w:fldCharType="end"/>
        </w:r>
      </w:p>
    </w:sdtContent>
  </w:sdt>
  <w:p w14:paraId="651FF060">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743"/>
    <w:rsid w:val="00011596"/>
    <w:rsid w:val="000203B6"/>
    <w:rsid w:val="000634B7"/>
    <w:rsid w:val="00065470"/>
    <w:rsid w:val="00136DF2"/>
    <w:rsid w:val="001B432D"/>
    <w:rsid w:val="001E1743"/>
    <w:rsid w:val="00206953"/>
    <w:rsid w:val="0027706C"/>
    <w:rsid w:val="00307143"/>
    <w:rsid w:val="004E5818"/>
    <w:rsid w:val="005A4F47"/>
    <w:rsid w:val="005A756E"/>
    <w:rsid w:val="005D001F"/>
    <w:rsid w:val="006D5150"/>
    <w:rsid w:val="00751A39"/>
    <w:rsid w:val="00826A1A"/>
    <w:rsid w:val="0083658D"/>
    <w:rsid w:val="00947E53"/>
    <w:rsid w:val="00950438"/>
    <w:rsid w:val="009C5018"/>
    <w:rsid w:val="00AA0447"/>
    <w:rsid w:val="00AA3E3E"/>
    <w:rsid w:val="00B21285"/>
    <w:rsid w:val="00B53957"/>
    <w:rsid w:val="00BA4D8D"/>
    <w:rsid w:val="00CA6712"/>
    <w:rsid w:val="00CF67E4"/>
    <w:rsid w:val="00D207BB"/>
    <w:rsid w:val="00DA150E"/>
    <w:rsid w:val="00DB584E"/>
    <w:rsid w:val="00DC4224"/>
    <w:rsid w:val="00E73529"/>
    <w:rsid w:val="00FA3F6C"/>
    <w:rsid w:val="00FD6669"/>
    <w:rsid w:val="109F0A2F"/>
    <w:rsid w:val="33242EAB"/>
    <w:rsid w:val="4A942D05"/>
    <w:rsid w:val="4B997021"/>
    <w:rsid w:val="5AB329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Balloon Text"/>
    <w:basedOn w:val="1"/>
    <w:link w:val="12"/>
    <w:qFormat/>
    <w:uiPriority w:val="0"/>
    <w:rPr>
      <w:sz w:val="18"/>
      <w:szCs w:val="18"/>
    </w:rPr>
  </w:style>
  <w:style w:type="paragraph" w:styleId="6">
    <w:name w:val="footer"/>
    <w:basedOn w:val="1"/>
    <w:link w:val="11"/>
    <w:uiPriority w:val="99"/>
    <w:pPr>
      <w:tabs>
        <w:tab w:val="center" w:pos="4153"/>
        <w:tab w:val="right" w:pos="8306"/>
      </w:tabs>
      <w:snapToGrid w:val="0"/>
      <w:jc w:val="left"/>
    </w:pPr>
    <w:rPr>
      <w:sz w:val="18"/>
      <w:szCs w:val="18"/>
    </w:rPr>
  </w:style>
  <w:style w:type="paragraph" w:styleId="7">
    <w:name w:val="header"/>
    <w:basedOn w:val="1"/>
    <w:link w:val="10"/>
    <w:uiPriority w:val="0"/>
    <w:pPr>
      <w:pBdr>
        <w:bottom w:val="single" w:color="auto" w:sz="6" w:space="1"/>
      </w:pBdr>
      <w:tabs>
        <w:tab w:val="center" w:pos="4153"/>
        <w:tab w:val="right" w:pos="8306"/>
      </w:tabs>
      <w:snapToGrid w:val="0"/>
      <w:jc w:val="center"/>
    </w:pPr>
    <w:rPr>
      <w:sz w:val="18"/>
      <w:szCs w:val="18"/>
    </w:rPr>
  </w:style>
  <w:style w:type="character" w:customStyle="1" w:styleId="10">
    <w:name w:val="页眉 字符"/>
    <w:basedOn w:val="9"/>
    <w:link w:val="7"/>
    <w:uiPriority w:val="0"/>
    <w:rPr>
      <w:rFonts w:asciiTheme="minorHAnsi" w:hAnsiTheme="minorHAnsi" w:eastAsiaTheme="minorEastAsia" w:cstheme="minorBidi"/>
      <w:kern w:val="2"/>
      <w:sz w:val="18"/>
      <w:szCs w:val="18"/>
    </w:rPr>
  </w:style>
  <w:style w:type="character" w:customStyle="1" w:styleId="11">
    <w:name w:val="页脚 字符"/>
    <w:basedOn w:val="9"/>
    <w:link w:val="6"/>
    <w:uiPriority w:val="99"/>
    <w:rPr>
      <w:rFonts w:asciiTheme="minorHAnsi" w:hAnsiTheme="minorHAnsi" w:eastAsiaTheme="minorEastAsia" w:cstheme="minorBidi"/>
      <w:kern w:val="2"/>
      <w:sz w:val="18"/>
      <w:szCs w:val="18"/>
    </w:rPr>
  </w:style>
  <w:style w:type="character" w:customStyle="1" w:styleId="12">
    <w:name w:val="批注框文本 字符"/>
    <w:basedOn w:val="9"/>
    <w:link w:val="5"/>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e5a7fa7e-a2b8-42e8-a747-4176028cf86c</errorID>
      <errorWord>经济布局战略性调整</errorWord>
      <group>L1_Political</group>
      <groupName>政治性问题</groupName>
      <ability>L2_Keyword</ability>
      <abilityName>固定表述</abilityName>
      <candidateList>
        <item>经济结构战略性调整</item>
      </candidateList>
      <explain>词汇“经济结构战略性调整”在特定场景下为固定表述形式，请确认此处的“经济布局战略性调整”是否存在不当。</explain>
      <paraID>78981452</paraID>
      <start>26</start>
      <end>35</end>
      <status>ignored</status>
      <modifiedWord/>
      <trackRevisions>false</trackRevisions>
    </reviewItem>
    <reviewItem>
      <errorID>75b4b2b2-9ecc-419e-acf0-c5ebab014cf2</errorID>
      <errorWord>国有经济布局和结构调整</errorWord>
      <group>L1_Political</group>
      <groupName>政治性问题</groupName>
      <ability>L2_Keyword</ability>
      <abilityName>固定表述</abilityName>
      <candidateList>
        <item>国有经济布局优化和结构调整</item>
      </candidateList>
      <explain>词汇“国有经济布局优化和结构调整”在特定场景下为固定表述形式，请确认此处的“国有经济布局和结构调整”是否存在不当。</explain>
      <paraID>7B170086</paraID>
      <start>5</start>
      <end>16</end>
      <status>ignored</status>
      <modifiedWord/>
      <trackRevisions>false</trackRevisions>
    </reviewItem>
    <reviewItem>
      <errorID>f58fcc80-1760-4ec9-8230-6d55bf7588ef</errorID>
      <errorWord>国家投资主管部门</errorWord>
      <group>L1_Political</group>
      <groupName>政治性问题</groupName>
      <ability>L2_Keyword</ability>
      <abilityName>固定表述</abilityName>
      <candidateList>
        <item>国务院投资主管部门</item>
      </candidateList>
      <explain>词汇“国务院投资主管部门”在特定场景下为固定表述形式，请确认此处的“国家投资主管部门”是否存在不当。</explain>
      <paraID>3B9D8253</paraID>
      <start>39</start>
      <end>47</end>
      <status>ignored</status>
      <modifiedWord/>
      <trackRevisions>false</trackRevisions>
    </reviewItem>
    <reviewItem>
      <errorID>bd838c2a-d677-4bec-ac2a-ff603c439e41</errorID>
      <errorWord>原则上至少</errorWord>
      <group>L1_Grammar</group>
      <groupName>语法问题</groupName>
      <ability>L2_Grammar</ability>
      <abilityName>语法错误</abilityName>
      <candidateList>
        <item>原则上</item>
      </candidateList>
      <explain/>
      <paraID>3B45196A</paraID>
      <start>8</start>
      <end>13</end>
      <status>ignored</status>
      <modifiedWord/>
      <trackRevisions>false</trackRevisions>
    </reviewItem>
    <reviewItem>
      <errorID>9920cdab-2a2d-4e44-9b21-f29a6ba896eb</errorID>
      <errorWord>主要</errorWord>
      <group>L1_Grammar</group>
      <groupName>语法问题</groupName>
      <ability>L2_Grammar</ability>
      <abilityName>语法错误</abilityName>
      <candidateList>
        <item>成员主要</item>
      </candidateList>
      <explain/>
      <paraID>3B45196A</paraID>
      <start>60</start>
      <end>62</end>
      <status>ignored</status>
      <modifiedWord/>
      <trackRevisions>false</trackRevisions>
    </reviewItem>
    <reviewItem>
      <errorID>69797917-658d-4e5d-bb51-6f5a49e7d284</errorID>
      <errorWord>(</errorWord>
      <group>L1_Punc</group>
      <groupName>标点问题</groupName>
      <ability>L2_Punc_CN</ability>
      <abilityName>标点符号问题</abilityName>
      <candidateList>
        <item>（</item>
      </candidateList>
      <explain/>
      <paraID>587E7DF2</paraID>
      <start>7</start>
      <end>8</end>
      <status>modified</status>
      <modifiedWord>（</modifiedWord>
      <trackRevisions>false</trackRevisions>
    </reviewItem>
    <reviewItem>
      <errorID>203a3d98-59c3-4ff4-8e8c-5d26a2851195</errorID>
      <errorWord>单位)</errorWord>
      <group>L1_Word</group>
      <groupName>字词问题</groupName>
      <ability>L2_Typo</ability>
      <abilityName>字词错误</abilityName>
      <candidateList>
        <item>为单位）</item>
      </candidateList>
      <explain/>
      <paraID>587E7DF2</paraID>
      <start>15</start>
      <end>18</end>
      <status>ignored</status>
      <modifiedWord/>
      <trackRevisions>false</trackRevisions>
    </reviewItem>
    <reviewItem>
      <errorID>3d94b454-788c-4cbd-8cfb-89d5c7a7dda9</errorID>
      <errorWord>;</errorWord>
      <group>L1_Format</group>
      <groupName>格式问题</groupName>
      <ability>L2_HalfPunc_CN</ability>
      <abilityName>全半角问题</abilityName>
      <candidateList>
        <item>；</item>
      </candidateList>
      <explain>文本全半角错误。</explain>
      <paraID>43B0E7D7</paraID>
      <start>23</start>
      <end>24</end>
      <status>modified</status>
      <modifiedWord>；</modifiedWord>
      <trackRevisions>false</trackRevisions>
    </reviewItem>
    <reviewItem>
      <errorID>fa0e543d-773d-43c1-a8fc-ffe86abcc581</errorID>
      <errorWord>、</errorWord>
      <group>L1_Punc</group>
      <groupName>标点问题</groupName>
      <ability>L2_Punc_CN</ability>
      <abilityName>标点符号问题</abilityName>
      <candidateList>
        <item>，</item>
      </candidateList>
      <explain/>
      <paraID>44CEDEA3</paraID>
      <start>17</start>
      <end>18</end>
      <status>modified</status>
      <modifiedWord>，</modifiedWord>
      <trackRevisions>false</trackRevisions>
    </reviewItem>
    <reviewItem>
      <errorID>3a331ed3-516c-4164-a88e-aa9261f036fa</errorID>
      <errorWord>;</errorWord>
      <group>L1_Format</group>
      <groupName>格式问题</groupName>
      <ability>L2_HalfPunc_CN</ability>
      <abilityName>全半角问题</abilityName>
      <candidateList>
        <item>；</item>
      </candidateList>
      <explain>文本全半角错误。</explain>
      <paraID>44CEDEA3</paraID>
      <start>27</start>
      <end>28</end>
      <status>modified</status>
      <modifiedWord>；</modifiedWord>
      <trackRevisions>false</trackRevisions>
    </reviewItem>
    <reviewItem>
      <errorID>e912749a-4bd0-4526-ae21-fed8329d61ab</errorID>
      <errorWord>(</errorWord>
      <group>L1_Punc</group>
      <groupName>标点问题</groupName>
      <ability>L2_Punc_CN</ability>
      <abilityName>标点符号问题</abilityName>
      <candidateList>
        <item>（</item>
      </candidateList>
      <explain/>
      <paraID>7FAA8BD9</paraID>
      <start>0</start>
      <end>1</end>
      <status>modified</status>
      <modifiedWord>（</modifiedWord>
      <trackRevisions>false</trackRevisions>
    </reviewItem>
    <reviewItem>
      <errorID>cf397de9-9a39-4e3f-abad-5bc4861a8f75</errorID>
      <errorWord>应</errorWord>
      <group>L1_Word</group>
      <groupName>字词问题</groupName>
      <ability>L2_Typo</ability>
      <abilityName>字词错误</abilityName>
      <candidateList>
        <item>应当</item>
      </candidateList>
      <explain/>
      <paraID>362586BF</paraID>
      <start>30</start>
      <end>31</end>
      <status>ignored</status>
      <modifiedWord/>
      <trackRevisions>false</trackRevisions>
    </reviewItem>
  </reviewItems>
  <config/>
</contractReview>
</file>

<file path=customXml/itemProps1.xml><?xml version="1.0" encoding="utf-8"?>
<ds:datastoreItem xmlns:ds="http://schemas.openxmlformats.org/officeDocument/2006/customXml" ds:itemID="{7ac33534-de09-4789-80bf-1ff089f2cdfa}">
  <ds:schemaRefs/>
</ds:datastoreItem>
</file>

<file path=docProps/app.xml><?xml version="1.0" encoding="utf-8"?>
<Properties xmlns="http://schemas.openxmlformats.org/officeDocument/2006/extended-properties" xmlns:vt="http://schemas.openxmlformats.org/officeDocument/2006/docPropsVTypes">
  <Template>Normal</Template>
  <Pages>9</Pages>
  <Words>4160</Words>
  <Characters>4195</Characters>
  <Lines>30</Lines>
  <Paragraphs>8</Paragraphs>
  <TotalTime>1031</TotalTime>
  <ScaleCrop>false</ScaleCrop>
  <LinksUpToDate>false</LinksUpToDate>
  <CharactersWithSpaces>4233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2025-05-24T01:32:00Z</dcterms:created>
  <dc:creator>Administrator</dc:creator>
  <cp:lastModifiedBy>薄</cp:lastModifiedBy>
  <cp:lastPrinted>2026-08-25T02:24:26Z</cp:lastPrinted>
  <dcterms:modified xsi:type="dcterms:W3CDTF">2026-08-25T02:27:20Z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eyJoZGlkIjoiZTliNTU0M2ExMGYzY2M4NjE2YWRkYmY2YWVlODUzOTkiLCJ1c2VySWQiOiIyMjYyOTAxMDgifQ==</vt:lpwstr>
  </property>
  <property fmtid="{D5CDD505-2E9C-101B-9397-08002B2CF9AE}" pid="4" name="ICV">
    <vt:lpwstr>64A4211A9831434BB450BB55778F6AA0_13</vt:lpwstr>
  </property>
</Properties>
</file>